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color w:val="auto"/>
          <w:sz w:val="44"/>
          <w:szCs w:val="44"/>
          <w:highlight w:val="none"/>
          <w:lang w:eastAsia="zh-CN"/>
        </w:rPr>
      </w:pPr>
      <w:r>
        <w:rPr>
          <w:rFonts w:hint="eastAsia" w:ascii="方正小标宋简体" w:hAnsi="方正小标宋简体" w:eastAsia="方正小标宋简体" w:cs="方正小标宋简体"/>
          <w:b w:val="0"/>
          <w:bCs/>
          <w:color w:val="auto"/>
          <w:sz w:val="44"/>
          <w:szCs w:val="44"/>
          <w:highlight w:val="none"/>
        </w:rPr>
        <w:t>20</w:t>
      </w:r>
      <w:r>
        <w:rPr>
          <w:rFonts w:hint="eastAsia" w:ascii="方正小标宋简体" w:hAnsi="方正小标宋简体" w:eastAsia="方正小标宋简体" w:cs="方正小标宋简体"/>
          <w:b w:val="0"/>
          <w:bCs/>
          <w:color w:val="auto"/>
          <w:sz w:val="44"/>
          <w:szCs w:val="44"/>
          <w:highlight w:val="none"/>
          <w:lang w:val="en-US" w:eastAsia="zh-CN"/>
        </w:rPr>
        <w:t>24</w:t>
      </w:r>
      <w:r>
        <w:rPr>
          <w:rFonts w:hint="eastAsia" w:ascii="方正小标宋简体" w:hAnsi="方正小标宋简体" w:eastAsia="方正小标宋简体" w:cs="方正小标宋简体"/>
          <w:b w:val="0"/>
          <w:bCs/>
          <w:color w:val="auto"/>
          <w:sz w:val="44"/>
          <w:szCs w:val="44"/>
          <w:highlight w:val="none"/>
        </w:rPr>
        <w:t>年度</w:t>
      </w:r>
      <w:r>
        <w:rPr>
          <w:rFonts w:hint="eastAsia" w:ascii="方正小标宋简体" w:hAnsi="方正小标宋简体" w:eastAsia="方正小标宋简体" w:cs="方正小标宋简体"/>
          <w:b w:val="0"/>
          <w:bCs/>
          <w:color w:val="auto"/>
          <w:sz w:val="44"/>
          <w:szCs w:val="44"/>
          <w:highlight w:val="none"/>
          <w:lang w:eastAsia="zh-CN"/>
        </w:rPr>
        <w:t>北京市服务业发展资金</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仿宋_GB2312"/>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绩效自评报告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一、</w:t>
      </w:r>
      <w:r>
        <w:rPr>
          <w:rFonts w:hint="eastAsia" w:ascii="黑体" w:hAnsi="黑体" w:eastAsia="黑体" w:cs="黑体"/>
          <w:bCs/>
          <w:color w:val="auto"/>
          <w:sz w:val="32"/>
          <w:szCs w:val="32"/>
          <w:highlight w:val="none"/>
          <w:lang w:eastAsia="zh-CN"/>
        </w:rPr>
        <w:t>转移支付基本</w:t>
      </w:r>
      <w:r>
        <w:rPr>
          <w:rFonts w:hint="eastAsia" w:ascii="黑体" w:hAnsi="黑体" w:eastAsia="黑体" w:cs="黑体"/>
          <w:bCs/>
          <w:color w:val="auto"/>
          <w:sz w:val="32"/>
          <w:szCs w:val="32"/>
          <w:highlight w:val="none"/>
        </w:rPr>
        <w:t>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CESI楷体-GB2312" w:hAnsi="CESI楷体-GB2312" w:eastAsia="CESI楷体-GB2312" w:cs="CESI楷体-GB2312"/>
          <w:b w:val="0"/>
          <w:bCs w:val="0"/>
          <w:color w:val="auto"/>
          <w:sz w:val="32"/>
          <w:szCs w:val="32"/>
          <w:highlight w:val="none"/>
          <w:lang w:eastAsia="zh-CN"/>
        </w:rPr>
      </w:pPr>
      <w:r>
        <w:rPr>
          <w:rFonts w:hint="eastAsia" w:ascii="CESI楷体-GB2312" w:hAnsi="CESI楷体-GB2312" w:eastAsia="CESI楷体-GB2312" w:cs="CESI楷体-GB2312"/>
          <w:b w:val="0"/>
          <w:bCs w:val="0"/>
          <w:color w:val="auto"/>
          <w:sz w:val="32"/>
          <w:szCs w:val="32"/>
          <w:highlight w:val="none"/>
          <w:lang w:eastAsia="zh-CN"/>
        </w:rPr>
        <w:t>（一）服务业发展资金转移支付概况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color w:val="auto"/>
          <w:sz w:val="32"/>
          <w:szCs w:val="32"/>
          <w:highlight w:val="none"/>
          <w:lang w:val="en-US" w:eastAsia="zh-CN"/>
        </w:rPr>
      </w:pPr>
      <w:r>
        <w:rPr>
          <w:rFonts w:hint="eastAsia" w:ascii="仿宋_GB2312"/>
          <w:color w:val="auto"/>
          <w:sz w:val="32"/>
          <w:szCs w:val="32"/>
          <w:highlight w:val="none"/>
          <w:lang w:val="en-US" w:eastAsia="zh-CN"/>
        </w:rPr>
        <w:t>2024年度涉及服务业发展资金预算18510.038656万元，其中：2023年北京市县域商业体系建设项目结转资金5853.312792万元、北京市生活必需品流通保供体系建设项目结转资金7475.725864万元；2024年下达北京市县域商业体系建设项目预算5181.000000万元。截至2024年12月31日，2023年度结转资金13329.038656万元，全部执行完毕；2024年度预算执行2412.077863万元，执行率46.56%。</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CESI楷体-GB2312" w:hAnsi="CESI楷体-GB2312" w:eastAsia="CESI楷体-GB2312" w:cs="CESI楷体-GB2312"/>
          <w:b w:val="0"/>
          <w:bCs w:val="0"/>
          <w:color w:val="auto"/>
          <w:sz w:val="32"/>
          <w:szCs w:val="32"/>
          <w:highlight w:val="none"/>
          <w:lang w:eastAsia="zh-CN"/>
        </w:rPr>
      </w:pPr>
      <w:r>
        <w:rPr>
          <w:rFonts w:hint="eastAsia" w:ascii="CESI楷体-GB2312" w:hAnsi="CESI楷体-GB2312" w:eastAsia="CESI楷体-GB2312" w:cs="CESI楷体-GB2312"/>
          <w:b w:val="0"/>
          <w:bCs w:val="0"/>
          <w:color w:val="auto"/>
          <w:sz w:val="32"/>
          <w:szCs w:val="32"/>
          <w:highlight w:val="none"/>
          <w:lang w:eastAsia="zh-CN"/>
        </w:rPr>
        <w:t>资金投入情况分析</w:t>
      </w:r>
    </w:p>
    <w:p>
      <w:pPr>
        <w:keepNext w:val="0"/>
        <w:keepLines w:val="0"/>
        <w:pageBreakBefore w:val="0"/>
        <w:widowControl w:val="0"/>
        <w:numPr>
          <w:ilvl w:val="-1"/>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1.北京市县域商业体系建设行动项目</w:t>
      </w:r>
    </w:p>
    <w:p>
      <w:pPr>
        <w:keepNext w:val="0"/>
        <w:keepLines w:val="0"/>
        <w:pageBreakBefore w:val="0"/>
        <w:widowControl w:val="0"/>
        <w:numPr>
          <w:ilvl w:val="-1"/>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结转资金</w:t>
      </w:r>
      <w:r>
        <w:rPr>
          <w:rFonts w:hint="eastAsia" w:ascii="仿宋_GB2312"/>
          <w:color w:val="auto"/>
          <w:sz w:val="32"/>
          <w:szCs w:val="32"/>
          <w:highlight w:val="none"/>
          <w:lang w:val="en-US" w:eastAsia="zh-CN"/>
        </w:rPr>
        <w:t>5853.312792</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cs="仿宋_GB2312"/>
          <w:color w:val="auto"/>
          <w:sz w:val="32"/>
          <w:szCs w:val="32"/>
          <w:highlight w:val="none"/>
          <w:lang w:val="en-US" w:eastAsia="zh-CN"/>
        </w:rPr>
        <w:t>2024年下达预算5181.000000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cs="仿宋_GB2312"/>
          <w:color w:val="auto"/>
          <w:sz w:val="32"/>
          <w:szCs w:val="32"/>
          <w:highlight w:val="none"/>
          <w:lang w:val="en-US" w:eastAsia="zh-CN"/>
        </w:rPr>
        <w:t>，共计11034.312792万元</w:t>
      </w:r>
      <w:r>
        <w:rPr>
          <w:rFonts w:hint="eastAsia" w:ascii="仿宋_GB2312" w:hAnsi="仿宋_GB2312" w:eastAsia="仿宋_GB2312" w:cs="仿宋_GB2312"/>
          <w:color w:val="auto"/>
          <w:sz w:val="32"/>
          <w:szCs w:val="32"/>
          <w:highlight w:val="none"/>
          <w:lang w:val="en-US" w:eastAsia="zh-CN"/>
        </w:rPr>
        <w:t>。截至202</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年12月31日，202</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结转</w:t>
      </w:r>
      <w:r>
        <w:rPr>
          <w:rFonts w:hint="eastAsia" w:ascii="仿宋_GB2312" w:hAnsi="仿宋_GB2312" w:eastAsia="仿宋_GB2312" w:cs="仿宋_GB2312"/>
          <w:color w:val="auto"/>
          <w:sz w:val="32"/>
          <w:szCs w:val="32"/>
          <w:highlight w:val="none"/>
          <w:lang w:val="en-US" w:eastAsia="zh-CN"/>
        </w:rPr>
        <w:t>资金</w:t>
      </w:r>
      <w:r>
        <w:rPr>
          <w:rFonts w:hint="eastAsia" w:ascii="仿宋_GB2312" w:hAnsi="仿宋_GB2312" w:cs="仿宋_GB2312"/>
          <w:color w:val="auto"/>
          <w:sz w:val="32"/>
          <w:szCs w:val="32"/>
          <w:highlight w:val="none"/>
          <w:lang w:val="en-US" w:eastAsia="zh-CN"/>
        </w:rPr>
        <w:t>执行5853.312792万元，执行率100%，</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预算执行</w:t>
      </w:r>
      <w:r>
        <w:rPr>
          <w:rFonts w:hint="eastAsia" w:ascii="仿宋_GB2312"/>
          <w:color w:val="auto"/>
          <w:sz w:val="32"/>
          <w:szCs w:val="32"/>
          <w:highlight w:val="none"/>
          <w:lang w:val="en-US" w:eastAsia="zh-CN"/>
        </w:rPr>
        <w:t>2412.077863万元，执行率46.56%。</w:t>
      </w:r>
    </w:p>
    <w:p>
      <w:pPr>
        <w:keepNext w:val="0"/>
        <w:keepLines w:val="0"/>
        <w:pageBreakBefore w:val="0"/>
        <w:widowControl w:val="0"/>
        <w:numPr>
          <w:ilvl w:val="-1"/>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北京市生活必需品流通保供体系建设项目</w:t>
      </w:r>
    </w:p>
    <w:p>
      <w:pPr>
        <w:keepNext w:val="0"/>
        <w:keepLines w:val="0"/>
        <w:pageBreakBefore w:val="0"/>
        <w:widowControl w:val="0"/>
        <w:numPr>
          <w:ilvl w:val="-1"/>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2023年结转资金7475.725864万元，截至2024年12月31日，执行7475.725864万元，执行率100%。</w:t>
      </w:r>
    </w:p>
    <w:p>
      <w:pPr>
        <w:pStyle w:val="2"/>
        <w:numPr>
          <w:ilvl w:val="0"/>
          <w:numId w:val="1"/>
        </w:numPr>
        <w:spacing w:line="560" w:lineRule="exact"/>
        <w:rPr>
          <w:rFonts w:hint="eastAsia"/>
          <w:lang w:eastAsia="zh-CN"/>
        </w:rPr>
      </w:pPr>
      <w:r>
        <w:rPr>
          <w:rFonts w:hint="eastAsia" w:ascii="CESI楷体-GB2312" w:hAnsi="CESI楷体-GB2312" w:eastAsia="CESI楷体-GB2312" w:cs="CESI楷体-GB2312"/>
          <w:b w:val="0"/>
          <w:bCs w:val="0"/>
          <w:color w:val="auto"/>
          <w:sz w:val="32"/>
          <w:szCs w:val="32"/>
          <w:highlight w:val="none"/>
          <w:lang w:eastAsia="zh-CN"/>
        </w:rPr>
        <w:t>资金管理情况分析</w:t>
      </w:r>
    </w:p>
    <w:p>
      <w:pPr>
        <w:keepNext w:val="0"/>
        <w:keepLines w:val="0"/>
        <w:pageBreakBefore w:val="0"/>
        <w:widowControl w:val="0"/>
        <w:numPr>
          <w:ilvl w:val="-1"/>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1.北京市县域商业体系建设行动项目</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会同北京市财政局，</w:t>
      </w:r>
      <w:r>
        <w:rPr>
          <w:rFonts w:hint="eastAsia" w:ascii="仿宋_GB2312" w:hAnsi="仿宋_GB2312" w:eastAsia="仿宋_GB2312" w:cs="仿宋_GB2312"/>
          <w:b w:val="0"/>
          <w:bCs w:val="0"/>
          <w:color w:val="auto"/>
          <w:sz w:val="32"/>
          <w:szCs w:val="32"/>
          <w:highlight w:val="none"/>
          <w:lang w:val="en-US" w:eastAsia="zh-CN"/>
        </w:rPr>
        <w:t>结合北京市实际制发《北京市县域商业补助资金使用管理细则》，建立“市级统筹+市区联动”</w:t>
      </w:r>
      <w:r>
        <w:rPr>
          <w:rFonts w:hint="eastAsia" w:ascii="仿宋_GB2312" w:hAnsi="仿宋_GB2312" w:cs="仿宋_GB2312"/>
          <w:color w:val="auto"/>
          <w:sz w:val="32"/>
          <w:szCs w:val="32"/>
          <w:highlight w:val="none"/>
        </w:rPr>
        <w:t>工作模式</w:t>
      </w:r>
      <w:r>
        <w:rPr>
          <w:rFonts w:hint="eastAsia" w:ascii="仿宋_GB2312" w:hAnsi="仿宋_GB2312" w:eastAsia="仿宋_GB2312" w:cs="仿宋_GB2312"/>
          <w:b w:val="0"/>
          <w:bCs w:val="0"/>
          <w:color w:val="auto"/>
          <w:sz w:val="32"/>
          <w:szCs w:val="32"/>
          <w:highlight w:val="none"/>
          <w:lang w:val="en-US" w:eastAsia="zh-CN"/>
        </w:rPr>
        <w:t>，由市级部门统筹进行项目征集、遴选、评审及预算执行，各区负责属地项目遴选、组织实施、监督考核工作。运用“三级联审+现场验收”模式，在区级（集团）初审、市级复审、第三方评审、验收等节点严格把控项目流程，确保资金使用效益。</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北京市生活必需品流通保供体系建设项目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会同北京市财政局，结合北京市实际制发《</w:t>
      </w:r>
      <w:r>
        <w:rPr>
          <w:rFonts w:hint="eastAsia"/>
        </w:rPr>
        <w:t>北京市生活必需品流通保供</w:t>
      </w:r>
      <w:r>
        <w:rPr>
          <w:rFonts w:hint="eastAsia"/>
          <w:lang w:eastAsia="zh-CN"/>
        </w:rPr>
        <w:t>补助资金</w:t>
      </w:r>
      <w:r>
        <w:rPr>
          <w:rFonts w:hint="eastAsia"/>
          <w:lang w:val="en-US" w:eastAsia="zh-CN"/>
        </w:rPr>
        <w:t>使用管理细则》，</w:t>
      </w:r>
      <w:r>
        <w:rPr>
          <w:rFonts w:hint="eastAsia"/>
        </w:rPr>
        <w:t>建立了“市级统筹、市区联动”工作模式，</w:t>
      </w:r>
      <w:r>
        <w:rPr>
          <w:rFonts w:hint="eastAsia"/>
          <w:lang w:val="en-US" w:eastAsia="zh-CN"/>
        </w:rPr>
        <w:t>项目执行期间，严格按照资金管理细则、申报通知等要求，经初审上报、联合复审、送评审核、现场验收、上会审议和公示等程序、环节，拨付资金到支持项目企业，资金支持符合项目申报方向、建设内容和资金管理等要求。</w:t>
      </w:r>
    </w:p>
    <w:p>
      <w:pPr>
        <w:snapToGrid w:val="0"/>
        <w:spacing w:line="560" w:lineRule="exact"/>
        <w:ind w:firstLine="640" w:firstLineChars="200"/>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二、绩效目标实现情况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color w:val="auto"/>
          <w:sz w:val="32"/>
          <w:szCs w:val="32"/>
          <w:highlight w:val="none"/>
          <w:lang w:val="en-US" w:eastAsia="zh-CN"/>
        </w:rPr>
      </w:pPr>
      <w:r>
        <w:rPr>
          <w:rFonts w:hint="eastAsia" w:ascii="仿宋_GB2312"/>
          <w:color w:val="auto"/>
          <w:sz w:val="32"/>
          <w:szCs w:val="32"/>
          <w:highlight w:val="none"/>
          <w:lang w:val="en-US" w:eastAsia="zh-CN"/>
        </w:rPr>
        <w:t>根据《财政部关于下达2024年服务业发展资金预算的通知》（财建</w:t>
      </w:r>
      <w:r>
        <w:rPr>
          <w:rFonts w:hint="eastAsia" w:ascii="仿宋_GB2312" w:hAnsi="仿宋_GB2312" w:eastAsia="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146号</w:t>
      </w:r>
      <w:r>
        <w:rPr>
          <w:rFonts w:hint="eastAsia" w:ascii="仿宋_GB2312"/>
          <w:color w:val="auto"/>
          <w:sz w:val="32"/>
          <w:szCs w:val="32"/>
          <w:highlight w:val="none"/>
          <w:lang w:val="en-US" w:eastAsia="zh-CN"/>
        </w:rPr>
        <w:t>）及《财政部关于下达2023年服务业发展资金预算的通知》（财建</w:t>
      </w:r>
      <w:r>
        <w:rPr>
          <w:rFonts w:hint="eastAsia" w:ascii="仿宋_GB2312" w:hAnsi="仿宋_GB2312" w:eastAsia="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121号</w:t>
      </w:r>
      <w:r>
        <w:rPr>
          <w:rFonts w:hint="eastAsia" w:ascii="仿宋_GB2312"/>
          <w:color w:val="auto"/>
          <w:sz w:val="32"/>
          <w:szCs w:val="32"/>
          <w:highlight w:val="none"/>
          <w:lang w:val="en-US" w:eastAsia="zh-CN"/>
        </w:rPr>
        <w:t>）文件有关要求，我局编报了《北京市县域商业体系建设项目绩效目标表》及《北京市生活必需品流通保供体系建设项目绩效目标表》。</w:t>
      </w:r>
    </w:p>
    <w:p>
      <w:pPr>
        <w:numPr>
          <w:ilvl w:val="0"/>
          <w:numId w:val="2"/>
        </w:numPr>
        <w:snapToGrid w:val="0"/>
        <w:spacing w:line="560" w:lineRule="exact"/>
        <w:ind w:firstLine="640"/>
        <w:outlineLvl w:val="0"/>
        <w:rPr>
          <w:rFonts w:hint="eastAsia" w:ascii="CESI楷体-GB2312" w:hAnsi="CESI楷体-GB2312" w:eastAsia="CESI楷体-GB2312" w:cs="CESI楷体-GB2312"/>
          <w:b w:val="0"/>
          <w:bCs w:val="0"/>
          <w:color w:val="auto"/>
          <w:sz w:val="32"/>
          <w:szCs w:val="32"/>
          <w:highlight w:val="none"/>
          <w:lang w:val="en-US" w:eastAsia="zh-CN"/>
        </w:rPr>
      </w:pPr>
      <w:r>
        <w:rPr>
          <w:rFonts w:hint="eastAsia" w:ascii="CESI楷体-GB2312" w:hAnsi="CESI楷体-GB2312" w:eastAsia="CESI楷体-GB2312" w:cs="CESI楷体-GB2312"/>
          <w:b w:val="0"/>
          <w:bCs w:val="0"/>
          <w:color w:val="auto"/>
          <w:sz w:val="32"/>
          <w:szCs w:val="32"/>
          <w:highlight w:val="none"/>
          <w:lang w:val="en-US" w:eastAsia="zh-CN"/>
        </w:rPr>
        <w:t>总体绩效目标完成情况分析</w:t>
      </w:r>
    </w:p>
    <w:p>
      <w:pPr>
        <w:numPr>
          <w:ilvl w:val="-1"/>
          <w:numId w:val="0"/>
        </w:numPr>
        <w:snapToGrid w:val="0"/>
        <w:spacing w:line="560" w:lineRule="exact"/>
        <w:ind w:firstLine="640" w:firstLineChars="200"/>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1.北京市县域商业体系建设行动项目</w:t>
      </w:r>
    </w:p>
    <w:p>
      <w:pPr>
        <w:keepNext w:val="0"/>
        <w:keepLines w:val="0"/>
        <w:pageBreakBefore w:val="0"/>
        <w:widowControl w:val="0"/>
        <w:kinsoku/>
        <w:wordWrap/>
        <w:overflowPunct/>
        <w:topLinePunct w:val="0"/>
        <w:autoSpaceDE/>
        <w:autoSpaceDN/>
        <w:bidi w:val="0"/>
        <w:adjustRightInd w:val="0"/>
        <w:snapToGrid w:val="0"/>
        <w:spacing w:before="0" w:line="560" w:lineRule="exact"/>
        <w:ind w:left="0" w:right="0" w:firstLine="642"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eastAsia="zh-CN"/>
        </w:rPr>
        <w:t>目标</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val="en-US" w:eastAsia="zh-CN"/>
        </w:rPr>
        <w:t>在县域商业体系建设、农村消费促进、农村商贸流通企业数字化转型等领域培育一批各具特色的地方典型。</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color w:val="auto"/>
          <w:sz w:val="32"/>
          <w:szCs w:val="22"/>
          <w:highlight w:val="none"/>
          <w:lang w:val="en-US" w:eastAsia="zh-CN"/>
        </w:rPr>
      </w:pPr>
      <w:r>
        <w:rPr>
          <w:rFonts w:hint="eastAsia" w:ascii="仿宋_GB2312" w:hAnsi="仿宋_GB2312" w:cs="仿宋_GB2312"/>
          <w:color w:val="auto"/>
          <w:sz w:val="32"/>
          <w:szCs w:val="32"/>
          <w:highlight w:val="none"/>
          <w:lang w:val="en-US" w:eastAsia="zh-CN"/>
        </w:rPr>
        <w:t>已完成。以市场化手段引导商贸流通企业错位经营，支持门头沟等生态涵养区发展区域特色商贸中心，引导华远坊打造“京西理想生活新聚场”，鼓励建设康依家农耕市集等乡镇级商贸中心。在县域商业基础设施匮乏地区引入品牌连锁商超，鼓励盒马鲜生、华冠折扣超市等新业态、新消费场景建设，提升周边乡镇居民生活品质。促进农村消费，布局改造“生活圈”。</w:t>
      </w:r>
      <w:r>
        <w:rPr>
          <w:rFonts w:hint="eastAsia" w:ascii="仿宋_GB2312" w:hAnsi="仿宋_GB2312" w:eastAsia="仿宋_GB2312" w:cs="仿宋_GB2312"/>
          <w:color w:val="auto"/>
          <w:sz w:val="32"/>
          <w:szCs w:val="22"/>
          <w:highlight w:val="none"/>
          <w:lang w:val="en-US" w:eastAsia="zh-CN"/>
        </w:rPr>
        <w:t>改造提升农村便民商业网点。完善农村网点布局，打造多元消费场景。鼓励大星发在怀柔、密云地区对30平米以上农村便民网点进行提升改造，优化门店陈列布局，完善货架、收银设施，投入数字化商品管理系统</w:t>
      </w:r>
      <w:r>
        <w:rPr>
          <w:rFonts w:hint="eastAsia" w:ascii="仿宋_GB2312" w:hAnsi="仿宋_GB2312" w:cs="仿宋_GB2312"/>
          <w:color w:val="auto"/>
          <w:sz w:val="32"/>
          <w:szCs w:val="22"/>
          <w:highlight w:val="none"/>
          <w:lang w:val="en-US" w:eastAsia="zh-CN"/>
        </w:rPr>
        <w:t>；</w:t>
      </w:r>
      <w:r>
        <w:rPr>
          <w:rFonts w:hint="eastAsia" w:ascii="仿宋_GB2312" w:hAnsi="仿宋_GB2312" w:eastAsia="仿宋_GB2312" w:cs="仿宋_GB2312"/>
          <w:color w:val="auto"/>
          <w:sz w:val="32"/>
          <w:szCs w:val="22"/>
          <w:highlight w:val="none"/>
          <w:lang w:val="en-US" w:eastAsia="zh-CN"/>
        </w:rPr>
        <w:t>支持门头沟区雁翅供销社灾后恢复重建项目，增加门店便利化服务功能，满足偏远山区消费者日常生活所需。</w:t>
      </w:r>
    </w:p>
    <w:p>
      <w:pPr>
        <w:keepNext w:val="0"/>
        <w:keepLines w:val="0"/>
        <w:pageBreakBefore w:val="0"/>
        <w:numPr>
          <w:ilvl w:val="0"/>
          <w:numId w:val="0"/>
        </w:numPr>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目标2：</w:t>
      </w:r>
      <w:r>
        <w:rPr>
          <w:rFonts w:hint="eastAsia" w:ascii="仿宋_GB2312" w:hAnsi="仿宋_GB2312" w:eastAsia="仿宋_GB2312" w:cs="仿宋_GB2312"/>
          <w:b w:val="0"/>
          <w:bCs w:val="0"/>
          <w:color w:val="auto"/>
          <w:sz w:val="32"/>
          <w:szCs w:val="32"/>
          <w:highlight w:val="none"/>
          <w:lang w:val="en-US" w:eastAsia="zh-CN"/>
        </w:rPr>
        <w:t>建设改造一批县级物流配送中心、乡镇商贸中心和快递物流站点，流通效率显著提升，流通成本进一步降低。</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已完成。支持首航、华冠、大星发等连锁超市进行供应链下沉，组建联合采购平台，完善配送、购物、便民等多功能服务体系；鼓励市供销社为我市周边县域和外地进京农产品提供冷冻储存、保管、分拣和配送服务。支持京东物流面向顺义等涉农区域持续布局新基建，升级投入面向农村村镇订单的县域物流分拣中心项目，更新后日均农村村镇订单量占比显著提升。</w:t>
      </w:r>
    </w:p>
    <w:p>
      <w:pPr>
        <w:keepNext w:val="0"/>
        <w:keepLines w:val="0"/>
        <w:pageBreakBefore w:val="0"/>
        <w:numPr>
          <w:ilvl w:val="0"/>
          <w:numId w:val="0"/>
        </w:numPr>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目标3：</w:t>
      </w:r>
      <w:r>
        <w:rPr>
          <w:rFonts w:hint="eastAsia" w:ascii="仿宋_GB2312" w:hAnsi="仿宋_GB2312" w:eastAsia="仿宋_GB2312" w:cs="仿宋_GB2312"/>
          <w:b w:val="0"/>
          <w:bCs w:val="0"/>
          <w:color w:val="auto"/>
          <w:sz w:val="32"/>
          <w:szCs w:val="32"/>
          <w:highlight w:val="none"/>
          <w:lang w:val="en-US" w:eastAsia="zh-CN"/>
        </w:rPr>
        <w:t>围绕地方特色产业，打造一批县域现代流通供应链，工业品下乡和农产品进城更加畅通。</w:t>
      </w:r>
    </w:p>
    <w:p>
      <w:pPr>
        <w:keepNext w:val="0"/>
        <w:keepLines w:val="0"/>
        <w:pageBreakBefore w:val="0"/>
        <w:numPr>
          <w:ilvl w:val="0"/>
          <w:numId w:val="0"/>
        </w:numPr>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cs="仿宋_GB2312"/>
          <w:color w:val="auto"/>
          <w:sz w:val="32"/>
          <w:szCs w:val="32"/>
          <w:highlight w:val="none"/>
          <w:lang w:val="en-US" w:eastAsia="zh-CN"/>
        </w:rPr>
        <w:t>已完成。</w:t>
      </w:r>
      <w:r>
        <w:rPr>
          <w:rFonts w:hint="eastAsia" w:ascii="仿宋_GB2312" w:hAnsi="仿宋_GB2312" w:eastAsia="仿宋_GB2312" w:cs="仿宋_GB2312"/>
          <w:b w:val="0"/>
          <w:bCs w:val="0"/>
          <w:color w:val="auto"/>
          <w:kern w:val="2"/>
          <w:sz w:val="32"/>
          <w:szCs w:val="32"/>
          <w:highlight w:val="none"/>
          <w:lang w:val="en-US" w:eastAsia="zh-CN" w:bidi="ar-SA"/>
        </w:rPr>
        <w:t>一是健全上行网络渠道，推动农产品标准化。支持天安农业、天安鲜食打造“小汤山”区域知名蔬菜品牌，支持喜逢春雨</w:t>
      </w:r>
      <w:r>
        <w:rPr>
          <w:rFonts w:hint="eastAsia" w:ascii="仿宋_GB2312" w:hAnsi="仿宋_GB2312" w:eastAsia="仿宋_GB2312" w:cs="仿宋_GB2312"/>
          <w:color w:val="auto"/>
          <w:sz w:val="32"/>
          <w:szCs w:val="32"/>
          <w:highlight w:val="none"/>
          <w:lang w:val="en-US" w:eastAsia="zh-CN"/>
        </w:rPr>
        <w:t>等本地农产品提升初加工和配送能力，强化标准和品牌应用。二是拓宽农产品上行渠道，深化农产品产销对接。积极引导商超企业依托设立的“北京优农品牌专区”售卖专柜，加大“北京优农”品牌农产品销售和品牌宣传推介。</w:t>
      </w:r>
      <w:r>
        <w:rPr>
          <w:rFonts w:hint="eastAsia" w:ascii="仿宋_GB2312" w:hAnsi="仿宋_GB2312" w:eastAsia="仿宋_GB2312" w:cs="仿宋_GB2312"/>
          <w:b w:val="0"/>
          <w:bCs w:val="0"/>
          <w:color w:val="auto"/>
          <w:sz w:val="32"/>
          <w:szCs w:val="40"/>
          <w:highlight w:val="none"/>
          <w:lang w:eastAsia="zh-CN"/>
        </w:rPr>
        <w:t>深化农林产品产销对接。</w:t>
      </w:r>
      <w:r>
        <w:rPr>
          <w:rFonts w:hint="default" w:ascii="仿宋_GB2312" w:hAnsi="仿宋_GB2312" w:eastAsia="仿宋_GB2312" w:cs="仿宋_GB2312"/>
          <w:b w:val="0"/>
          <w:bCs w:val="0"/>
          <w:color w:val="auto"/>
          <w:sz w:val="32"/>
          <w:szCs w:val="40"/>
          <w:highlight w:val="none"/>
          <w:lang w:eastAsia="zh-CN"/>
        </w:rPr>
        <w:t>与市农业农村局、市园林绿化局建立了京郊农产品产销对接联动工作机制，有效推动解决本市农产品滞销卖难问题，形成了部门协同发力、市区联动推进的良好局面。</w:t>
      </w:r>
      <w:r>
        <w:rPr>
          <w:rFonts w:hint="eastAsia" w:ascii="仿宋_GB2312" w:hAnsi="仿宋_GB2312" w:cs="仿宋_GB2312"/>
          <w:b w:val="0"/>
          <w:bCs w:val="0"/>
          <w:color w:val="auto"/>
          <w:sz w:val="32"/>
          <w:szCs w:val="40"/>
          <w:highlight w:val="none"/>
          <w:lang w:eastAsia="zh-CN"/>
        </w:rPr>
        <w:t>三是</w:t>
      </w:r>
      <w:r>
        <w:rPr>
          <w:rFonts w:hint="default" w:ascii="仿宋_GB2312" w:hAnsi="仿宋_GB2312" w:eastAsia="仿宋_GB2312" w:cs="仿宋_GB2312"/>
          <w:b w:val="0"/>
          <w:bCs w:val="0"/>
          <w:color w:val="auto"/>
          <w:sz w:val="32"/>
          <w:szCs w:val="40"/>
          <w:highlight w:val="none"/>
          <w:lang w:eastAsia="zh-CN"/>
        </w:rPr>
        <w:t>开展系列助农活动。市商务局与平谷区联合出台支持平谷区建设直播电商产业聚集区方案措施，统筹推进工作落实</w:t>
      </w:r>
      <w:r>
        <w:rPr>
          <w:rFonts w:hint="eastAsia" w:ascii="仿宋_GB2312" w:hAnsi="仿宋_GB2312" w:cs="仿宋_GB2312"/>
          <w:b w:val="0"/>
          <w:bCs w:val="0"/>
          <w:color w:val="auto"/>
          <w:sz w:val="32"/>
          <w:szCs w:val="40"/>
          <w:highlight w:val="none"/>
          <w:lang w:eastAsia="zh-CN"/>
        </w:rPr>
        <w:t>；</w:t>
      </w:r>
      <w:r>
        <w:rPr>
          <w:rFonts w:hint="default" w:ascii="仿宋_GB2312" w:hAnsi="仿宋_GB2312" w:eastAsia="仿宋_GB2312" w:cs="仿宋_GB2312"/>
          <w:b w:val="0"/>
          <w:bCs w:val="0"/>
          <w:color w:val="auto"/>
          <w:sz w:val="32"/>
          <w:szCs w:val="40"/>
          <w:highlight w:val="none"/>
          <w:lang w:eastAsia="zh-CN"/>
        </w:rPr>
        <w:t>举办“2024北京直播电商购物节”等线上促消费活动，农产品领域的优秀平台企业在直播间为消费者推荐平谷大桃等质量优、性价比高的北京好物。</w:t>
      </w:r>
    </w:p>
    <w:p>
      <w:pPr>
        <w:numPr>
          <w:ilvl w:val="0"/>
          <w:numId w:val="0"/>
        </w:numPr>
        <w:snapToGrid w:val="0"/>
        <w:spacing w:line="560" w:lineRule="exact"/>
        <w:ind w:firstLine="640" w:firstLineChars="200"/>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北京市生活必需品流通保供体系建设项目</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目标1</w:t>
      </w:r>
      <w:r>
        <w:rPr>
          <w:rFonts w:hint="eastAsia" w:ascii="仿宋_GB2312" w:hAnsi="仿宋_GB2312" w:eastAsia="仿宋_GB2312" w:cs="仿宋_GB2312"/>
          <w:color w:val="auto"/>
          <w:sz w:val="32"/>
          <w:szCs w:val="32"/>
          <w:highlight w:val="none"/>
          <w:lang w:val="en-US" w:eastAsia="zh-CN"/>
        </w:rPr>
        <w:t>：构建“布局结构合理、网络支撑有力、物流配送顺畅、运转高效安全”的生活必需品流通保供体系。</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已完成。</w:t>
      </w:r>
      <w:r>
        <w:rPr>
          <w:rFonts w:hint="eastAsia" w:ascii="仿宋_GB2312" w:hAnsi="仿宋_GB2312" w:eastAsia="仿宋_GB2312" w:cs="仿宋_GB2312"/>
          <w:color w:val="auto"/>
          <w:sz w:val="32"/>
          <w:szCs w:val="32"/>
          <w:highlight w:val="none"/>
          <w:lang w:val="en-US" w:eastAsia="zh-CN"/>
        </w:rPr>
        <w:t>我市建立了相对稳定的生活必需品供应保障体系，形成了以首农食品集团、市供销社等国有农产品生产和流通企业，新发地、顺鑫石门等主要农产品批发市场，物美、京客隆等大型连锁超市，以及京东、美团等重点电商平台为骨干的保供主力军、销售主渠道，有效保障了本市生活必需品市场供应稳定。</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目标2：</w:t>
      </w:r>
      <w:r>
        <w:rPr>
          <w:rFonts w:hint="eastAsia" w:ascii="仿宋_GB2312" w:hAnsi="仿宋_GB2312" w:eastAsia="仿宋_GB2312" w:cs="仿宋_GB2312"/>
          <w:color w:val="auto"/>
          <w:sz w:val="32"/>
          <w:szCs w:val="32"/>
          <w:highlight w:val="none"/>
          <w:lang w:val="en-US" w:eastAsia="zh-CN"/>
        </w:rPr>
        <w:t>“平时”流通效率提升、流通成本下降。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已完成。</w:t>
      </w:r>
      <w:r>
        <w:rPr>
          <w:rFonts w:hint="eastAsia" w:ascii="仿宋_GB2312" w:hAnsi="仿宋_GB2312" w:eastAsia="仿宋_GB2312" w:cs="仿宋_GB2312"/>
          <w:color w:val="auto"/>
          <w:sz w:val="32"/>
          <w:szCs w:val="32"/>
          <w:highlight w:val="none"/>
          <w:lang w:val="en-US" w:eastAsia="zh-CN"/>
        </w:rPr>
        <w:t>据监测，2023年我市生活必需品市场供应稳定，流通渠道正常，秩序良好。2023年批发市场蔬菜日均上市量2.34万吨，同比增加5.9%，平均批发价1.38元/斤，同比下降8%</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猪肉日均上市量513.5吨，同比增加9%，平均批发价9.32元/斤，同比下降20%</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鸡蛋日均上市量411.6吨，同比增加4.6%，平均批发价4.93元/斤，同比下降3.8%。</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目标3：</w:t>
      </w:r>
      <w:r>
        <w:rPr>
          <w:rFonts w:hint="eastAsia" w:ascii="仿宋_GB2312" w:hAnsi="仿宋_GB2312" w:eastAsia="仿宋_GB2312" w:cs="仿宋_GB2312"/>
          <w:color w:val="auto"/>
          <w:sz w:val="32"/>
          <w:szCs w:val="32"/>
          <w:highlight w:val="none"/>
          <w:lang w:val="en-US" w:eastAsia="zh-CN"/>
        </w:rPr>
        <w:t>“急时”物资供应充足、流通运转稳定。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已完成。</w:t>
      </w:r>
      <w:r>
        <w:rPr>
          <w:rFonts w:hint="eastAsia" w:ascii="仿宋_GB2312" w:hAnsi="仿宋_GB2312" w:eastAsia="仿宋_GB2312" w:cs="仿宋_GB2312"/>
          <w:color w:val="auto"/>
          <w:sz w:val="32"/>
          <w:szCs w:val="32"/>
          <w:highlight w:val="none"/>
          <w:lang w:val="en-US" w:eastAsia="zh-CN"/>
        </w:rPr>
        <w:t>在北京市“23.7”特大暴雨洪涝灾害、极端强降雪降温等极端天气期间，物美超市和相关储备企业积极发挥应急保供作用，按时调拨送达生活必需品等物资83万余件</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在春节、中秋、国庆等重要节假日期间，顺鑫石门市场、鹏程、大红门等企业加强货源组织和保供人员调配，增加商业库存和上货量，有效保障节日消费需求。</w:t>
      </w:r>
    </w:p>
    <w:p>
      <w:pPr>
        <w:numPr>
          <w:ilvl w:val="0"/>
          <w:numId w:val="2"/>
        </w:numPr>
        <w:snapToGrid w:val="0"/>
        <w:spacing w:line="560" w:lineRule="exact"/>
        <w:ind w:firstLine="640"/>
        <w:outlineLvl w:val="0"/>
        <w:rPr>
          <w:rFonts w:hint="default" w:ascii="CESI楷体-GB2312" w:hAnsi="CESI楷体-GB2312" w:eastAsia="CESI楷体-GB2312" w:cs="CESI楷体-GB2312"/>
          <w:color w:val="auto"/>
          <w:sz w:val="32"/>
          <w:szCs w:val="32"/>
          <w:highlight w:val="none"/>
          <w:lang w:val="en-US" w:eastAsia="zh-CN"/>
        </w:rPr>
      </w:pPr>
      <w:r>
        <w:rPr>
          <w:rFonts w:hint="eastAsia" w:ascii="CESI楷体-GB2312" w:hAnsi="CESI楷体-GB2312" w:eastAsia="CESI楷体-GB2312" w:cs="CESI楷体-GB2312"/>
          <w:color w:val="auto"/>
          <w:sz w:val="32"/>
          <w:szCs w:val="32"/>
          <w:highlight w:val="none"/>
        </w:rPr>
        <w:t>绩效指标完成情况分析</w:t>
      </w:r>
    </w:p>
    <w:p>
      <w:pPr>
        <w:numPr>
          <w:ilvl w:val="-1"/>
          <w:numId w:val="0"/>
        </w:numPr>
        <w:snapToGrid w:val="0"/>
        <w:spacing w:line="560" w:lineRule="exact"/>
        <w:ind w:firstLine="640" w:firstLineChars="200"/>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1.北京市县域商业体系建设行动项目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产出指标完成情况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sym w:font="Wingdings" w:char="F081"/>
      </w:r>
      <w:r>
        <w:rPr>
          <w:rFonts w:hint="eastAsia" w:ascii="仿宋_GB2312" w:hAnsi="仿宋_GB2312" w:eastAsia="仿宋_GB2312" w:cs="仿宋_GB2312"/>
          <w:color w:val="auto"/>
          <w:sz w:val="32"/>
          <w:szCs w:val="32"/>
          <w:highlight w:val="none"/>
        </w:rPr>
        <w:t>数量指标</w:t>
      </w:r>
    </w:p>
    <w:p>
      <w:pPr>
        <w:keepNext w:val="0"/>
        <w:keepLines w:val="0"/>
        <w:pageBreakBefore w:val="0"/>
        <w:widowControl/>
        <w:suppressLineNumbers w:val="0"/>
        <w:kinsoku/>
        <w:wordWrap/>
        <w:overflowPunct/>
        <w:topLinePunct w:val="0"/>
        <w:autoSpaceDE/>
        <w:autoSpaceDN/>
        <w:bidi w:val="0"/>
        <w:spacing w:line="560" w:lineRule="exact"/>
        <w:ind w:left="0" w:leftChars="0" w:firstLine="600" w:firstLineChars="187"/>
        <w:jc w:val="left"/>
        <w:textAlignment w:val="auto"/>
        <w:rPr>
          <w:rFonts w:hint="eastAsia" w:ascii="仿宋_GB2312" w:hAnsi="仿宋_GB2312" w:cs="仿宋_GB2312"/>
          <w:color w:val="auto"/>
          <w:sz w:val="32"/>
          <w:szCs w:val="32"/>
          <w:highlight w:val="none"/>
          <w:lang w:eastAsia="zh-CN"/>
        </w:rPr>
      </w:pPr>
      <w:r>
        <w:rPr>
          <w:rFonts w:hint="eastAsia" w:ascii="仿宋_GB2312" w:hAnsi="仿宋_GB2312" w:cs="仿宋_GB2312"/>
          <w:b/>
          <w:bCs/>
          <w:color w:val="auto"/>
          <w:sz w:val="32"/>
          <w:szCs w:val="32"/>
          <w:highlight w:val="none"/>
          <w:lang w:eastAsia="zh-CN"/>
        </w:rPr>
        <w:t>县级物流配送中心新增改造数量≥</w:t>
      </w:r>
      <w:r>
        <w:rPr>
          <w:rFonts w:hint="eastAsia" w:ascii="仿宋_GB2312" w:hAnsi="仿宋_GB2312" w:cs="仿宋_GB2312"/>
          <w:b/>
          <w:bCs/>
          <w:color w:val="auto"/>
          <w:sz w:val="32"/>
          <w:szCs w:val="32"/>
          <w:highlight w:val="none"/>
          <w:lang w:val="en-US" w:eastAsia="zh-CN"/>
        </w:rPr>
        <w:t>3个</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color w:val="auto"/>
          <w:sz w:val="32"/>
          <w:szCs w:val="32"/>
          <w:highlight w:val="none"/>
        </w:rPr>
        <w:t>指标已完成。</w:t>
      </w:r>
      <w:r>
        <w:rPr>
          <w:rFonts w:hint="eastAsia" w:ascii="仿宋_GB2312" w:hAnsi="仿宋_GB2312" w:cs="仿宋_GB2312"/>
          <w:color w:val="auto"/>
          <w:sz w:val="32"/>
          <w:szCs w:val="32"/>
          <w:highlight w:val="none"/>
          <w:lang w:val="en-US" w:eastAsia="zh-CN"/>
        </w:rPr>
        <w:t>2024年</w:t>
      </w:r>
      <w:r>
        <w:rPr>
          <w:rFonts w:hint="eastAsia" w:ascii="仿宋_GB2312" w:hAnsi="仿宋_GB2312" w:cs="仿宋_GB2312"/>
          <w:color w:val="auto"/>
          <w:sz w:val="32"/>
          <w:szCs w:val="32"/>
          <w:highlight w:val="none"/>
          <w:lang w:eastAsia="zh-CN"/>
        </w:rPr>
        <w:t>新增改造区级配送中心12个，同比增长26.7%。其中，运用县域商业建设行动专项资金支持位于北京德邦区级转运中心项目、京东物流县域物流升级改造等项目。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cs="仿宋_GB2312"/>
          <w:color w:val="auto"/>
          <w:sz w:val="32"/>
          <w:szCs w:val="32"/>
          <w:highlight w:val="none"/>
          <w:lang w:val="en-US" w:eastAsia="zh-CN"/>
        </w:rPr>
      </w:pPr>
      <w:r>
        <w:rPr>
          <w:rFonts w:hint="eastAsia" w:ascii="仿宋_GB2312" w:hAnsi="仿宋_GB2312" w:cs="仿宋_GB2312"/>
          <w:b/>
          <w:bCs/>
          <w:color w:val="auto"/>
          <w:sz w:val="32"/>
          <w:szCs w:val="32"/>
          <w:highlight w:val="none"/>
          <w:lang w:eastAsia="zh-CN"/>
        </w:rPr>
        <w:t>农村网络零售额年均增速≥</w:t>
      </w:r>
      <w:r>
        <w:rPr>
          <w:rFonts w:hint="eastAsia" w:ascii="仿宋_GB2312" w:hAnsi="仿宋_GB2312" w:cs="仿宋_GB2312"/>
          <w:b/>
          <w:bCs/>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。指标已完成。2024年农产品网络零售额547.87亿元，同比增长9.05%。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sym w:font="Wingdings" w:char="F082"/>
      </w:r>
      <w:r>
        <w:rPr>
          <w:rFonts w:hint="eastAsia" w:ascii="仿宋_GB2312" w:hAnsi="仿宋_GB2312" w:eastAsia="仿宋_GB2312" w:cs="仿宋_GB2312"/>
          <w:color w:val="auto"/>
          <w:sz w:val="32"/>
          <w:szCs w:val="32"/>
          <w:highlight w:val="none"/>
        </w:rPr>
        <w:t>质量指标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cs="仿宋_GB2312"/>
          <w:color w:val="auto"/>
          <w:sz w:val="32"/>
          <w:szCs w:val="32"/>
          <w:highlight w:val="none"/>
          <w:lang w:eastAsia="zh-CN"/>
        </w:rPr>
      </w:pPr>
      <w:r>
        <w:rPr>
          <w:rFonts w:hint="eastAsia" w:ascii="仿宋_GB2312" w:hAnsi="仿宋_GB2312" w:cs="仿宋_GB2312"/>
          <w:b/>
          <w:bCs/>
          <w:color w:val="auto"/>
          <w:sz w:val="32"/>
          <w:szCs w:val="32"/>
          <w:highlight w:val="none"/>
          <w:lang w:eastAsia="zh-CN"/>
        </w:rPr>
        <w:t>乡镇商贸中心覆盖率提高</w:t>
      </w:r>
      <w:r>
        <w:rPr>
          <w:rFonts w:hint="eastAsia" w:ascii="仿宋_GB2312" w:hAnsi="仿宋_GB2312" w:cs="仿宋_GB2312"/>
          <w:b/>
          <w:bCs/>
          <w:color w:val="auto"/>
          <w:sz w:val="32"/>
          <w:szCs w:val="32"/>
          <w:highlight w:val="none"/>
          <w:lang w:val="en-US" w:eastAsia="zh-CN"/>
        </w:rPr>
        <w:t>3.5</w:t>
      </w:r>
      <w:r>
        <w:rPr>
          <w:rFonts w:hint="eastAsia" w:ascii="仿宋_GB2312" w:hAnsi="仿宋_GB2312" w:cs="仿宋_GB2312"/>
          <w:b/>
          <w:bCs/>
          <w:color w:val="auto"/>
          <w:sz w:val="32"/>
          <w:szCs w:val="32"/>
          <w:highlight w:val="none"/>
          <w:lang w:eastAsia="zh-CN"/>
        </w:rPr>
        <w:t>个百分点。</w:t>
      </w:r>
      <w:r>
        <w:rPr>
          <w:rFonts w:hint="eastAsia" w:ascii="仿宋_GB2312" w:hAnsi="仿宋_GB2312" w:eastAsia="仿宋_GB2312" w:cs="仿宋_GB2312"/>
          <w:color w:val="auto"/>
          <w:sz w:val="32"/>
          <w:szCs w:val="32"/>
          <w:highlight w:val="none"/>
        </w:rPr>
        <w:t>指标已完成。我市13个涉农区乡镇商贸中心覆盖率已达到100%</w:t>
      </w:r>
      <w:r>
        <w:rPr>
          <w:rFonts w:hint="eastAsia" w:ascii="仿宋_GB2312" w:hAnsi="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cs="仿宋_GB2312"/>
          <w:b/>
          <w:bCs/>
          <w:color w:val="auto"/>
          <w:sz w:val="32"/>
          <w:szCs w:val="32"/>
          <w:highlight w:val="none"/>
          <w:lang w:eastAsia="zh-CN"/>
        </w:rPr>
        <w:t>县域商品和服务销售额提高</w:t>
      </w:r>
      <w:r>
        <w:rPr>
          <w:rFonts w:hint="eastAsia" w:ascii="仿宋_GB2312" w:hAnsi="仿宋_GB2312" w:cs="仿宋_GB2312"/>
          <w:b/>
          <w:bCs/>
          <w:color w:val="auto"/>
          <w:sz w:val="32"/>
          <w:szCs w:val="32"/>
          <w:highlight w:val="none"/>
          <w:lang w:val="en-US" w:eastAsia="zh-CN"/>
        </w:rPr>
        <w:t>3个百分点。</w:t>
      </w:r>
      <w:r>
        <w:rPr>
          <w:rFonts w:hint="eastAsia" w:ascii="仿宋_GB2312" w:hAnsi="仿宋_GB2312" w:eastAsia="仿宋_GB2312" w:cs="仿宋_GB2312"/>
          <w:color w:val="auto"/>
          <w:sz w:val="32"/>
          <w:szCs w:val="32"/>
          <w:highlight w:val="none"/>
        </w:rPr>
        <w:t>指标已完成</w:t>
      </w:r>
      <w:r>
        <w:rPr>
          <w:rFonts w:hint="eastAsia" w:ascii="仿宋_GB2312" w:hAnsi="仿宋_GB2312" w:cs="仿宋_GB2312"/>
          <w:color w:val="auto"/>
          <w:sz w:val="32"/>
          <w:szCs w:val="32"/>
          <w:highlight w:val="none"/>
          <w:lang w:eastAsia="zh-CN"/>
        </w:rPr>
        <w:t>。2024年全市县域商品和服务销售额61亿元，同比增速为6.76%。</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效益指标完成情况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sym w:font="Wingdings" w:char="F081"/>
      </w:r>
      <w:r>
        <w:rPr>
          <w:rFonts w:hint="eastAsia" w:ascii="仿宋_GB2312" w:hAnsi="仿宋_GB2312" w:eastAsia="仿宋_GB2312" w:cs="仿宋_GB2312"/>
          <w:color w:val="auto"/>
          <w:sz w:val="32"/>
          <w:szCs w:val="32"/>
          <w:highlight w:val="none"/>
        </w:rPr>
        <w:t>经济效益</w:t>
      </w:r>
      <w:r>
        <w:rPr>
          <w:rFonts w:hint="eastAsia" w:ascii="仿宋_GB2312" w:hAnsi="仿宋_GB2312" w:cs="仿宋_GB2312"/>
          <w:color w:val="auto"/>
          <w:sz w:val="32"/>
          <w:szCs w:val="32"/>
          <w:highlight w:val="none"/>
          <w:lang w:eastAsia="zh-CN"/>
        </w:rPr>
        <w:t>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cs="仿宋_GB2312"/>
          <w:b/>
          <w:bCs/>
          <w:color w:val="auto"/>
          <w:sz w:val="32"/>
          <w:szCs w:val="32"/>
          <w:highlight w:val="none"/>
          <w:lang w:eastAsia="zh-CN"/>
        </w:rPr>
        <w:t>城乡消费品零售额增速对比基本持平</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color w:val="auto"/>
          <w:sz w:val="32"/>
          <w:szCs w:val="32"/>
          <w:highlight w:val="none"/>
        </w:rPr>
        <w:t>指标已完成。2024年北京市城镇居民人均消费支出53214元，同比增长4.6%</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农村居民人均消费支出27349元，同比增长4.1%。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sym w:font="Wingdings" w:char="F082"/>
      </w:r>
      <w:r>
        <w:rPr>
          <w:rFonts w:hint="eastAsia" w:ascii="仿宋_GB2312" w:hAnsi="仿宋_GB2312" w:eastAsia="仿宋_GB2312" w:cs="仿宋_GB2312"/>
          <w:color w:val="auto"/>
          <w:sz w:val="32"/>
          <w:szCs w:val="32"/>
          <w:highlight w:val="none"/>
        </w:rPr>
        <w:t>社会效益</w:t>
      </w:r>
      <w:r>
        <w:rPr>
          <w:rFonts w:hint="eastAsia" w:ascii="仿宋_GB2312" w:hAnsi="仿宋_GB2312" w:cs="仿宋_GB2312"/>
          <w:color w:val="auto"/>
          <w:sz w:val="32"/>
          <w:szCs w:val="32"/>
          <w:highlight w:val="none"/>
          <w:lang w:eastAsia="zh-CN"/>
        </w:rPr>
        <w:t>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cs="仿宋_GB2312"/>
          <w:color w:val="auto"/>
          <w:sz w:val="32"/>
          <w:szCs w:val="32"/>
          <w:highlight w:val="none"/>
          <w:lang w:eastAsia="zh-CN"/>
        </w:rPr>
      </w:pPr>
      <w:r>
        <w:rPr>
          <w:rFonts w:hint="eastAsia" w:ascii="仿宋_GB2312" w:hAnsi="仿宋_GB2312" w:cs="仿宋_GB2312"/>
          <w:b/>
          <w:bCs/>
          <w:color w:val="auto"/>
          <w:sz w:val="32"/>
          <w:szCs w:val="32"/>
          <w:highlight w:val="none"/>
          <w:lang w:eastAsia="zh-CN"/>
        </w:rPr>
        <w:t>促进农民增收效果明显。</w:t>
      </w:r>
      <w:r>
        <w:rPr>
          <w:rFonts w:hint="eastAsia" w:ascii="仿宋_GB2312" w:hAnsi="仿宋_GB2312" w:eastAsia="仿宋_GB2312" w:cs="仿宋_GB2312"/>
          <w:color w:val="auto"/>
          <w:sz w:val="32"/>
          <w:szCs w:val="32"/>
          <w:highlight w:val="none"/>
        </w:rPr>
        <w:t>指标已完成。2024年北京市农村居民人均可支配收入39856元，同比增长6.7%</w:t>
      </w:r>
      <w:r>
        <w:rPr>
          <w:rFonts w:hint="eastAsia" w:ascii="仿宋_GB2312" w:hAnsi="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cs="仿宋_GB2312"/>
          <w:color w:val="auto"/>
          <w:sz w:val="32"/>
          <w:szCs w:val="32"/>
          <w:highlight w:val="none"/>
          <w:lang w:eastAsia="zh-CN"/>
        </w:rPr>
      </w:pPr>
      <w:r>
        <w:rPr>
          <w:rFonts w:hint="eastAsia" w:ascii="仿宋_GB2312" w:hAnsi="仿宋_GB2312" w:cs="仿宋_GB2312"/>
          <w:b/>
          <w:bCs/>
          <w:color w:val="auto"/>
          <w:sz w:val="32"/>
          <w:szCs w:val="32"/>
          <w:highlight w:val="none"/>
          <w:lang w:eastAsia="zh-CN"/>
        </w:rPr>
        <w:t>农村网商（含社交、移动电商用户）数量同比增速≥</w:t>
      </w:r>
      <w:r>
        <w:rPr>
          <w:rFonts w:hint="eastAsia" w:ascii="仿宋_GB2312" w:hAnsi="仿宋_GB2312" w:cs="仿宋_GB2312"/>
          <w:b/>
          <w:bCs/>
          <w:color w:val="auto"/>
          <w:sz w:val="32"/>
          <w:szCs w:val="32"/>
          <w:highlight w:val="none"/>
          <w:lang w:val="en-US" w:eastAsia="zh-CN"/>
        </w:rPr>
        <w:t>1%</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指标已完成。2024年全市农村网商（店）数量5.99万个，同比增速为3.16%。</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满意度指标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cs="仿宋_GB2312"/>
          <w:b/>
          <w:bCs/>
          <w:color w:val="auto"/>
          <w:sz w:val="32"/>
          <w:szCs w:val="32"/>
          <w:highlight w:val="none"/>
          <w:lang w:eastAsia="zh-CN"/>
        </w:rPr>
        <w:t>服务对象对项目的</w:t>
      </w:r>
      <w:r>
        <w:rPr>
          <w:rFonts w:hint="eastAsia" w:ascii="仿宋_GB2312" w:hAnsi="仿宋_GB2312" w:eastAsia="仿宋_GB2312" w:cs="仿宋_GB2312"/>
          <w:b/>
          <w:bCs/>
          <w:color w:val="auto"/>
          <w:sz w:val="32"/>
          <w:szCs w:val="32"/>
          <w:highlight w:val="none"/>
        </w:rPr>
        <w:t>满意度≥80%</w:t>
      </w:r>
      <w:r>
        <w:rPr>
          <w:rFonts w:hint="eastAsia" w:ascii="仿宋_GB2312" w:hAnsi="仿宋_GB2312" w:eastAsia="仿宋_GB2312" w:cs="仿宋_GB2312"/>
          <w:color w:val="auto"/>
          <w:sz w:val="32"/>
          <w:szCs w:val="32"/>
          <w:highlight w:val="none"/>
        </w:rPr>
        <w:t>。指标已完成。</w:t>
      </w:r>
      <w:r>
        <w:rPr>
          <w:rFonts w:hint="eastAsia" w:ascii="仿宋_GB2312" w:hAnsi="仿宋_GB2312" w:cs="仿宋_GB2312"/>
          <w:color w:val="auto"/>
          <w:sz w:val="32"/>
          <w:szCs w:val="32"/>
          <w:highlight w:val="none"/>
          <w:lang w:eastAsia="zh-CN"/>
        </w:rPr>
        <w:t>县域商业支持项目主体对项目的满意度达</w:t>
      </w:r>
      <w:r>
        <w:rPr>
          <w:rFonts w:hint="eastAsia" w:ascii="仿宋_GB2312" w:hAnsi="仿宋_GB2312" w:cs="仿宋_GB2312"/>
          <w:color w:val="auto"/>
          <w:sz w:val="32"/>
          <w:szCs w:val="32"/>
          <w:highlight w:val="none"/>
          <w:lang w:val="en-US" w:eastAsia="zh-CN"/>
        </w:rPr>
        <w:t>85%。</w:t>
      </w:r>
    </w:p>
    <w:p>
      <w:pPr>
        <w:numPr>
          <w:ilvl w:val="0"/>
          <w:numId w:val="0"/>
        </w:numPr>
        <w:snapToGrid w:val="0"/>
        <w:spacing w:line="560" w:lineRule="exact"/>
        <w:ind w:firstLine="640" w:firstLineChars="200"/>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北京市生活必需品流通保供体系建设项目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cs="仿宋_GB2312"/>
          <w:b w:val="0"/>
          <w:bCs w:val="0"/>
          <w:color w:val="auto"/>
          <w:sz w:val="32"/>
          <w:szCs w:val="32"/>
          <w:highlight w:val="none"/>
          <w:lang w:val="en-US" w:eastAsia="zh-CN"/>
        </w:rPr>
        <w:t>产出指标完成情况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质量指标</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纳入商务部生活必需品监测预警供应量信息报送率≥72%</w:t>
      </w:r>
      <w:r>
        <w:rPr>
          <w:rFonts w:hint="eastAsia" w:ascii="仿宋_GB2312" w:hAnsi="仿宋_GB2312" w:eastAsia="仿宋_GB2312" w:cs="仿宋_GB2312"/>
          <w:b w:val="0"/>
          <w:bCs w:val="0"/>
          <w:color w:val="auto"/>
          <w:sz w:val="32"/>
          <w:szCs w:val="32"/>
          <w:highlight w:val="none"/>
          <w:lang w:val="en-US" w:eastAsia="zh-CN"/>
        </w:rPr>
        <w:t>。指标已完成。2024年资金支持的京东七鲜、京迅递、石门市场等重点项目，均已同意纳入商务部生活必需品监测，预警供应量信息报送率</w:t>
      </w:r>
      <w:r>
        <w:rPr>
          <w:rFonts w:hint="eastAsia" w:ascii="仿宋_GB2312" w:hAnsi="仿宋_GB2312" w:cs="仿宋_GB2312"/>
          <w:b w:val="0"/>
          <w:bCs w:val="0"/>
          <w:color w:val="auto"/>
          <w:sz w:val="32"/>
          <w:szCs w:val="32"/>
          <w:highlight w:val="none"/>
          <w:lang w:val="en-US" w:eastAsia="zh-CN"/>
        </w:rPr>
        <w:t>达到</w:t>
      </w:r>
      <w:r>
        <w:rPr>
          <w:rFonts w:hint="eastAsia" w:ascii="仿宋_GB2312" w:hAnsi="仿宋_GB2312" w:eastAsia="仿宋_GB2312" w:cs="仿宋_GB2312"/>
          <w:b w:val="0"/>
          <w:bCs w:val="0"/>
          <w:color w:val="auto"/>
          <w:sz w:val="32"/>
          <w:szCs w:val="32"/>
          <w:highlight w:val="none"/>
          <w:lang w:val="en-US" w:eastAsia="zh-CN"/>
        </w:rPr>
        <w:t>72%。</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cs="仿宋_GB2312"/>
          <w:b w:val="0"/>
          <w:bCs w:val="0"/>
          <w:color w:val="auto"/>
          <w:sz w:val="32"/>
          <w:szCs w:val="32"/>
          <w:highlight w:val="none"/>
          <w:lang w:val="en-US" w:eastAsia="zh-CN"/>
        </w:rPr>
        <w:t>效益指标完成情况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①社会效益指标。</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重点保供企业城区人口覆盖率≥71%。</w:t>
      </w:r>
      <w:r>
        <w:rPr>
          <w:rFonts w:hint="eastAsia" w:ascii="仿宋_GB2312" w:hAnsi="仿宋_GB2312" w:eastAsia="仿宋_GB2312" w:cs="仿宋_GB2312"/>
          <w:b w:val="0"/>
          <w:bCs w:val="0"/>
          <w:color w:val="auto"/>
          <w:sz w:val="32"/>
          <w:szCs w:val="32"/>
          <w:highlight w:val="none"/>
          <w:lang w:val="en-US" w:eastAsia="zh-CN"/>
        </w:rPr>
        <w:t>指标已完成。我市现有“菜篮子”零售网点9816个、社区3205个，社区零售网点密度3.06个，城区人口覆盖率已达到71%以上。新发地净菜加工项目投入使用后，日加工净菜可达到170吨，提升了净菜上市和流通保供能力</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第零农场生鲜配送信息化建设项目，服务4万多个家庭会员，覆盖人口20万以上</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二商大红门五肉联食品有限公司的肉类食品精细加工项目，服务机关团体、部队等大客户3300余个</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京迅递6个多级保供仓网投入运营，每个网点可覆盖周边5公里范围居民需求</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顺鑫石门市场在2023年改造羊肉交易大厅的基础上，再投资对猪肉厅、综合厅和海鲜厅进行改造建设，综合交易保障能力显著提升。</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政府储备供应城区居民消费天数稳步增加。</w:t>
      </w:r>
      <w:r>
        <w:rPr>
          <w:rFonts w:hint="eastAsia" w:ascii="仿宋_GB2312" w:hAnsi="仿宋_GB2312" w:eastAsia="仿宋_GB2312" w:cs="仿宋_GB2312"/>
          <w:b w:val="0"/>
          <w:bCs w:val="0"/>
          <w:color w:val="auto"/>
          <w:sz w:val="32"/>
          <w:szCs w:val="32"/>
          <w:highlight w:val="none"/>
          <w:lang w:val="en-US" w:eastAsia="zh-CN"/>
        </w:rPr>
        <w:t>指标已完成。顺鑫石门市场冬春蔬菜储备2000吨、二商大红门肉类储备1850吨、盘龙翠谷科技有限公司冬春季蔬菜储备20000吨，所储商品数量到位，质量合格。目前，我市生活必需品政府储备的肉、蛋、菜等商品可满足本市应急保供需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②可持续影响指标</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资金支持期间未发生全区（县）范围持续48小时以上的某大类生活必需品断档脱销。</w:t>
      </w:r>
      <w:r>
        <w:rPr>
          <w:rFonts w:hint="eastAsia" w:ascii="仿宋_GB2312" w:hAnsi="仿宋_GB2312" w:eastAsia="仿宋_GB2312" w:cs="仿宋_GB2312"/>
          <w:b w:val="0"/>
          <w:bCs w:val="0"/>
          <w:color w:val="auto"/>
          <w:sz w:val="32"/>
          <w:szCs w:val="32"/>
          <w:highlight w:val="none"/>
          <w:lang w:val="en-US" w:eastAsia="zh-CN"/>
        </w:rPr>
        <w:t>指标已完成。2024年，我市重点保供企业在商务部和市、区两级商务部门的指导下，积极发挥主力军作用，持续开展日常供应和应急保障工作。经监测，没有发生区（县）范围持续48小时以上的生活必需品断档脱销事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cs="仿宋_GB2312"/>
          <w:b w:val="0"/>
          <w:bCs w:val="0"/>
          <w:color w:val="auto"/>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lang w:val="en-US" w:eastAsia="zh-CN"/>
        </w:rPr>
      </w:pPr>
      <w:r>
        <w:rPr>
          <w:rFonts w:hint="eastAsia" w:ascii="仿宋_GB2312" w:hAnsi="仿宋_GB2312" w:eastAsia="仿宋_GB2312" w:cs="仿宋_GB2312"/>
          <w:b w:val="0"/>
          <w:bCs w:val="0"/>
          <w:color w:val="auto"/>
          <w:sz w:val="32"/>
          <w:szCs w:val="32"/>
          <w:highlight w:val="none"/>
          <w:lang w:val="en-US" w:eastAsia="zh-CN"/>
        </w:rPr>
        <w:t>服务对象满意度指标。</w:t>
      </w:r>
      <w:r>
        <w:rPr>
          <w:rFonts w:hint="eastAsia" w:ascii="仿宋_GB2312" w:hAnsi="仿宋_GB2312" w:eastAsia="仿宋_GB2312" w:cs="仿宋_GB2312"/>
          <w:b/>
          <w:bCs/>
          <w:color w:val="auto"/>
          <w:sz w:val="32"/>
          <w:szCs w:val="32"/>
          <w:highlight w:val="none"/>
          <w:lang w:val="en-US" w:eastAsia="zh-CN"/>
        </w:rPr>
        <w:t>生活必需品获取便利性居民满意度≥82%</w:t>
      </w:r>
      <w:r>
        <w:rPr>
          <w:rFonts w:hint="eastAsia" w:ascii="仿宋_GB2312" w:hAnsi="仿宋_GB2312" w:eastAsia="仿宋_GB2312" w:cs="仿宋_GB2312"/>
          <w:b w:val="0"/>
          <w:bCs w:val="0"/>
          <w:color w:val="auto"/>
          <w:sz w:val="32"/>
          <w:szCs w:val="32"/>
          <w:highlight w:val="none"/>
          <w:lang w:val="en-US" w:eastAsia="zh-CN"/>
        </w:rPr>
        <w:t>。指标已完成。经向项目单位问卷调查，服务对象满意度在90%以上。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cs="黑体"/>
          <w:bCs/>
          <w:color w:val="auto"/>
          <w:sz w:val="32"/>
          <w:szCs w:val="32"/>
          <w:highlight w:val="none"/>
        </w:rPr>
      </w:pPr>
      <w:r>
        <w:rPr>
          <w:rFonts w:hint="eastAsia" w:ascii="黑体" w:hAnsi="黑体" w:eastAsia="黑体" w:cs="黑体"/>
          <w:bCs/>
          <w:color w:val="auto"/>
          <w:sz w:val="32"/>
          <w:szCs w:val="32"/>
          <w:highlight w:val="none"/>
          <w:lang w:eastAsia="zh-CN"/>
        </w:rPr>
        <w:t>三</w:t>
      </w:r>
      <w:r>
        <w:rPr>
          <w:rFonts w:hint="eastAsia" w:ascii="黑体" w:hAnsi="黑体" w:eastAsia="黑体" w:cs="黑体"/>
          <w:bCs/>
          <w:color w:val="auto"/>
          <w:sz w:val="32"/>
          <w:szCs w:val="32"/>
          <w:highlight w:val="none"/>
        </w:rPr>
        <w:t>、</w:t>
      </w:r>
      <w:r>
        <w:rPr>
          <w:rFonts w:hint="eastAsia" w:ascii="黑体" w:hAnsi="黑体" w:eastAsia="黑体" w:cs="黑体"/>
          <w:bCs/>
          <w:color w:val="auto"/>
          <w:sz w:val="32"/>
          <w:szCs w:val="32"/>
          <w:highlight w:val="none"/>
          <w:lang w:eastAsia="zh-CN"/>
        </w:rPr>
        <w:t>绩效自评结论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CESI楷体-GB2312" w:hAnsi="CESI楷体-GB2312" w:eastAsia="CESI楷体-GB2312" w:cs="CESI楷体-GB2312"/>
          <w:color w:val="auto"/>
          <w:sz w:val="32"/>
          <w:szCs w:val="32"/>
          <w:highlight w:val="none"/>
          <w:lang w:val="en-US" w:eastAsia="zh-CN"/>
        </w:rPr>
      </w:pPr>
      <w:r>
        <w:rPr>
          <w:rFonts w:hint="eastAsia" w:ascii="CESI楷体-GB2312" w:hAnsi="CESI楷体-GB2312" w:eastAsia="CESI楷体-GB2312" w:cs="CESI楷体-GB2312"/>
          <w:b w:val="0"/>
          <w:bCs w:val="0"/>
          <w:color w:val="auto"/>
          <w:sz w:val="32"/>
          <w:szCs w:val="32"/>
          <w:highlight w:val="none"/>
        </w:rPr>
        <w:t>（一）</w:t>
      </w:r>
      <w:r>
        <w:rPr>
          <w:rFonts w:hint="eastAsia" w:ascii="CESI楷体-GB2312" w:hAnsi="CESI楷体-GB2312" w:eastAsia="CESI楷体-GB2312" w:cs="CESI楷体-GB2312"/>
          <w:color w:val="auto"/>
          <w:sz w:val="32"/>
          <w:szCs w:val="32"/>
          <w:highlight w:val="none"/>
          <w:lang w:val="en-US" w:eastAsia="zh-CN"/>
        </w:rPr>
        <w:t>北京市县域商业体系建设行动项目</w:t>
      </w:r>
    </w:p>
    <w:p>
      <w:pPr>
        <w:pStyle w:val="3"/>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2024年度，北京市县域商业体系建设行动资金共计11034.312792万元，包含</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结转资金</w:t>
      </w:r>
      <w:r>
        <w:rPr>
          <w:rFonts w:hint="eastAsia" w:ascii="仿宋_GB2312"/>
          <w:color w:val="auto"/>
          <w:sz w:val="32"/>
          <w:szCs w:val="32"/>
          <w:highlight w:val="none"/>
          <w:lang w:val="en-US" w:eastAsia="zh-CN"/>
        </w:rPr>
        <w:t>和</w:t>
      </w:r>
      <w:r>
        <w:rPr>
          <w:rFonts w:hint="eastAsia" w:ascii="仿宋_GB2312" w:hAnsi="仿宋_GB2312" w:cs="仿宋_GB2312"/>
          <w:color w:val="auto"/>
          <w:sz w:val="32"/>
          <w:szCs w:val="32"/>
          <w:highlight w:val="none"/>
          <w:lang w:val="en-US" w:eastAsia="zh-CN"/>
        </w:rPr>
        <w:t>2024年下达资金，</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结转</w:t>
      </w:r>
      <w:r>
        <w:rPr>
          <w:rFonts w:hint="eastAsia" w:ascii="仿宋_GB2312" w:hAnsi="仿宋_GB2312" w:eastAsia="仿宋_GB2312" w:cs="仿宋_GB2312"/>
          <w:color w:val="auto"/>
          <w:sz w:val="32"/>
          <w:szCs w:val="32"/>
          <w:highlight w:val="none"/>
          <w:lang w:val="en-US" w:eastAsia="zh-CN"/>
        </w:rPr>
        <w:t>资金</w:t>
      </w:r>
      <w:r>
        <w:rPr>
          <w:rFonts w:hint="eastAsia" w:ascii="仿宋_GB2312" w:hAnsi="仿宋_GB2312" w:cs="仿宋_GB2312"/>
          <w:color w:val="auto"/>
          <w:sz w:val="32"/>
          <w:szCs w:val="32"/>
          <w:highlight w:val="none"/>
          <w:lang w:val="en-US" w:eastAsia="zh-CN"/>
        </w:rPr>
        <w:t>执行率100%，</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预算</w:t>
      </w:r>
      <w:r>
        <w:rPr>
          <w:rFonts w:hint="eastAsia" w:ascii="仿宋_GB2312"/>
          <w:color w:val="auto"/>
          <w:sz w:val="32"/>
          <w:szCs w:val="32"/>
          <w:highlight w:val="none"/>
          <w:lang w:val="en-US" w:eastAsia="zh-CN"/>
        </w:rPr>
        <w:t>执行率46.56%。</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个年度总体目标</w:t>
      </w:r>
      <w:r>
        <w:rPr>
          <w:rFonts w:hint="eastAsia" w:ascii="仿宋_GB2312" w:hAnsi="仿宋_GB2312" w:cs="仿宋_GB2312"/>
          <w:color w:val="auto"/>
          <w:sz w:val="32"/>
          <w:szCs w:val="32"/>
          <w:highlight w:val="none"/>
          <w:lang w:eastAsia="zh-CN"/>
        </w:rPr>
        <w:t>、年度</w:t>
      </w:r>
      <w:r>
        <w:rPr>
          <w:rFonts w:hint="eastAsia" w:ascii="仿宋_GB2312" w:hAnsi="仿宋_GB2312" w:eastAsia="仿宋_GB2312" w:cs="仿宋_GB2312"/>
          <w:color w:val="auto"/>
          <w:sz w:val="32"/>
          <w:szCs w:val="32"/>
          <w:highlight w:val="none"/>
        </w:rPr>
        <w:t>绩效指标</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3个一级指标，</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个二级指标，</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个三级指标</w:t>
      </w:r>
      <w:r>
        <w:rPr>
          <w:rFonts w:hint="eastAsia" w:ascii="仿宋_GB2312" w:hAnsi="仿宋_GB2312" w:cs="仿宋_GB2312"/>
          <w:color w:val="auto"/>
          <w:sz w:val="32"/>
          <w:szCs w:val="32"/>
          <w:highlight w:val="none"/>
          <w:lang w:eastAsia="zh-CN"/>
        </w:rPr>
        <w:t>）</w:t>
      </w:r>
      <w:r>
        <w:rPr>
          <w:rFonts w:hint="eastAsia" w:ascii="仿宋_GB2312"/>
          <w:color w:val="auto"/>
          <w:sz w:val="32"/>
          <w:szCs w:val="32"/>
          <w:highlight w:val="none"/>
          <w:lang w:val="en-US" w:eastAsia="zh-CN"/>
        </w:rPr>
        <w:t>完成情况良好，</w:t>
      </w:r>
      <w:r>
        <w:rPr>
          <w:rFonts w:hint="eastAsia" w:ascii="仿宋_GB2312" w:hAnsi="仿宋_GB2312" w:cs="仿宋_GB2312"/>
          <w:color w:val="auto"/>
          <w:sz w:val="32"/>
          <w:szCs w:val="32"/>
          <w:highlight w:val="none"/>
          <w:lang w:val="en-US" w:eastAsia="zh-CN"/>
        </w:rPr>
        <w:t>未偏离绩效目标。</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outlineLvl w:val="0"/>
        <w:rPr>
          <w:rFonts w:hint="eastAsia" w:ascii="仿宋_GB2312" w:hAnsi="仿宋_GB2312" w:eastAsia="仿宋_GB2312" w:cs="仿宋_GB2312"/>
          <w:color w:val="auto"/>
          <w:highlight w:val="none"/>
          <w:lang w:val="en-US" w:eastAsia="zh-CN"/>
        </w:rPr>
      </w:pPr>
      <w:r>
        <w:rPr>
          <w:rFonts w:hint="eastAsia" w:ascii="楷体_GB2312" w:hAnsi="楷体_GB2312" w:eastAsia="楷体_GB2312" w:cs="楷体_GB2312"/>
          <w:b w:val="0"/>
          <w:bCs w:val="0"/>
          <w:color w:val="auto"/>
          <w:sz w:val="32"/>
          <w:szCs w:val="32"/>
          <w:highlight w:val="none"/>
        </w:rPr>
        <w:t>（</w:t>
      </w:r>
      <w:r>
        <w:rPr>
          <w:rFonts w:hint="eastAsia" w:ascii="楷体_GB2312" w:hAnsi="楷体_GB2312" w:eastAsia="楷体_GB2312" w:cs="楷体_GB2312"/>
          <w:b w:val="0"/>
          <w:bCs w:val="0"/>
          <w:color w:val="auto"/>
          <w:sz w:val="32"/>
          <w:szCs w:val="32"/>
          <w:highlight w:val="none"/>
          <w:lang w:eastAsia="zh-CN"/>
        </w:rPr>
        <w:t>二</w:t>
      </w:r>
      <w:r>
        <w:rPr>
          <w:rFonts w:hint="eastAsia" w:ascii="楷体_GB2312" w:hAnsi="楷体_GB2312" w:eastAsia="楷体_GB2312" w:cs="楷体_GB2312"/>
          <w:b w:val="0"/>
          <w:bCs w:val="0"/>
          <w:color w:val="auto"/>
          <w:sz w:val="32"/>
          <w:szCs w:val="32"/>
          <w:highlight w:val="none"/>
        </w:rPr>
        <w:t>）</w:t>
      </w:r>
      <w:r>
        <w:rPr>
          <w:rFonts w:hint="eastAsia" w:ascii="楷体_GB2312" w:hAnsi="楷体_GB2312" w:eastAsia="楷体_GB2312" w:cs="楷体_GB2312"/>
          <w:color w:val="auto"/>
          <w:sz w:val="32"/>
          <w:szCs w:val="32"/>
          <w:highlight w:val="none"/>
        </w:rPr>
        <w:t>北京市生活必需品流通保供体系建设项目</w:t>
      </w:r>
    </w:p>
    <w:p>
      <w:pPr>
        <w:pStyle w:val="3"/>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年度，北京市生活必需品流通保供体系建设项目使用2023年结转资金7475.725864万元，执行7475.725864万元，执行率100%。3个年度总体目标、年度绩效指标（3个一级指标、4个二级指标、5个三级指标）完成情况良好，未偏离绩效目标。</w:t>
      </w:r>
    </w:p>
    <w:p>
      <w:pPr>
        <w:pStyle w:val="3"/>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eastAsia" w:ascii="仿宋_GB2312" w:hAnsi="仿宋_GB2312" w:cs="仿宋_GB2312"/>
          <w:color w:val="auto"/>
          <w:sz w:val="32"/>
          <w:szCs w:val="32"/>
          <w:highlight w:val="none"/>
          <w:lang w:val="en-US" w:eastAsia="zh-CN"/>
        </w:rPr>
      </w:pPr>
      <w:bookmarkStart w:id="0" w:name="_GoBack"/>
      <w:bookmarkEnd w:id="0"/>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kov7PyAEAAJkDAAAOAAAAAAAA&#10;AAEAIAAAADQBAABkcnMvZTJvRG9jLnhtbFBLBQYAAAAABgAGAFkBAABuBQAAAAA=&#10;">
              <v:fill on="f" focussize="0,0"/>
              <v:stroke on="f"/>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E96354"/>
    <w:multiLevelType w:val="singleLevel"/>
    <w:tmpl w:val="BBE96354"/>
    <w:lvl w:ilvl="0" w:tentative="0">
      <w:start w:val="2"/>
      <w:numFmt w:val="chineseCounting"/>
      <w:suff w:val="nothing"/>
      <w:lvlText w:val="（%1）"/>
      <w:lvlJc w:val="left"/>
      <w:rPr>
        <w:rFonts w:hint="eastAsia"/>
      </w:rPr>
    </w:lvl>
  </w:abstractNum>
  <w:abstractNum w:abstractNumId="1">
    <w:nsid w:val="CDF664BB"/>
    <w:multiLevelType w:val="singleLevel"/>
    <w:tmpl w:val="CDF664BB"/>
    <w:lvl w:ilvl="0" w:tentative="0">
      <w:start w:val="3"/>
      <w:numFmt w:val="decimal"/>
      <w:suff w:val="nothing"/>
      <w:lvlText w:val="（%1）"/>
      <w:lvlJc w:val="left"/>
    </w:lvl>
  </w:abstractNum>
  <w:abstractNum w:abstractNumId="2">
    <w:nsid w:val="5DDE2AD2"/>
    <w:multiLevelType w:val="singleLevel"/>
    <w:tmpl w:val="5DDE2AD2"/>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D19C8"/>
    <w:rsid w:val="5FBD19C8"/>
    <w:rsid w:val="73271DA1"/>
    <w:rsid w:val="EB59FA47"/>
    <w:rsid w:val="F6FF469B"/>
    <w:rsid w:val="FFEF6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99"/>
    <w:pPr>
      <w:spacing w:after="140" w:line="276" w:lineRule="auto"/>
      <w:ind w:firstLine="420" w:firstLineChars="200"/>
    </w:pPr>
    <w:rPr>
      <w:rFonts w:eastAsia="仿宋_GB2312"/>
      <w:sz w:val="32"/>
    </w:rPr>
  </w:style>
  <w:style w:type="paragraph" w:styleId="3">
    <w:name w:val="Body Text"/>
    <w:basedOn w:val="1"/>
    <w:next w:val="4"/>
    <w:qFormat/>
    <w:uiPriority w:val="0"/>
    <w:pPr>
      <w:spacing w:before="0" w:after="140" w:line="276" w:lineRule="auto"/>
    </w:pPr>
  </w:style>
  <w:style w:type="paragraph" w:customStyle="1" w:styleId="4">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Body Text First Indent"/>
    <w:basedOn w:val="3"/>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2025-08-27T14:16:00Z</dcterms:created>
  <dc:creator>gan</dc:creator>
  <cp:lastModifiedBy>gan</cp:lastModifiedBy>
  <dcterms:modified xsi:type="dcterms:W3CDTF">2025-08-26T16:16:40Z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1DFE87DCDD5540673051AD68D9DFB1AA</vt:lpwstr>
  </property>
</Properties>
</file>