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36163">
      <w:pPr>
        <w:spacing w:line="0" w:lineRule="atLeast"/>
        <w:rPr>
          <w:rFonts w:ascii="Arial" w:hAnsiTheme="minorHAnsi" w:eastAsiaTheme="minorEastAsia" w:cstheme="minorBidi"/>
          <w:color w:val="FF0000"/>
          <w:sz w:val="2"/>
          <w:szCs w:val="22"/>
          <w:lang w:val="en-US" w:eastAsia="en-US" w:bidi="ar-SA"/>
        </w:rPr>
      </w:pPr>
      <w:bookmarkStart w:id="0" w:name="br1_241"/>
      <w:bookmarkEnd w:id="0"/>
      <w:r>
        <w:rPr>
          <w:rFonts w:ascii="Arial" w:hAnsiTheme="minorHAnsi" w:eastAsiaTheme="minorEastAsia" w:cstheme="minorBidi"/>
          <w:color w:val="FF0000"/>
          <w:sz w:val="2"/>
          <w:szCs w:val="22"/>
          <w:lang w:val="en-US" w:eastAsia="en-US" w:bidi="ar-SA"/>
        </w:rPr>
        <w:t xml:space="preserve"> </w:t>
      </w:r>
    </w:p>
    <w:p w14:paraId="451B1D44">
      <w:pPr>
        <w:framePr w:w="900" w:wrap="auto" w:vAnchor="margin" w:hAnchor="text" w:x="1248" w:y="1603"/>
        <w:widowControl w:val="0"/>
        <w:autoSpaceDE w:val="0"/>
        <w:autoSpaceDN w:val="0"/>
        <w:spacing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zCs w:val="22"/>
          <w:lang w:val="en-US" w:eastAsia="en-US" w:bidi="ar-SA"/>
        </w:rPr>
        <w:t>附件</w:t>
      </w:r>
      <w:r>
        <w:rPr>
          <w:rFonts w:hAnsiTheme="minorHAnsi" w:eastAsiaTheme="minorEastAsia" w:cstheme="minorBidi"/>
          <w:color w:val="000000"/>
          <w:szCs w:val="22"/>
          <w:lang w:val="en-US" w:eastAsia="en-US" w:bidi="ar-SA"/>
        </w:rPr>
        <w:t xml:space="preserve"> </w:t>
      </w:r>
      <w:r>
        <w:rPr>
          <w:rFonts w:ascii="仿宋" w:hAnsiTheme="minorHAnsi" w:eastAsiaTheme="minorEastAsia" w:cstheme="minorBidi"/>
          <w:color w:val="000000"/>
          <w:szCs w:val="22"/>
          <w:lang w:val="en-US" w:eastAsia="en-US" w:bidi="ar-SA"/>
        </w:rPr>
        <w:t>2</w:t>
      </w:r>
    </w:p>
    <w:p w14:paraId="4A517564">
      <w:pPr>
        <w:framePr w:w="5025" w:wrap="auto" w:vAnchor="margin" w:hAnchor="text" w:x="3634" w:y="2039"/>
        <w:widowControl w:val="0"/>
        <w:autoSpaceDE w:val="0"/>
        <w:autoSpaceDN w:val="0"/>
        <w:spacing w:line="319" w:lineRule="exact"/>
        <w:rPr>
          <w:rFonts w:hAnsiTheme="minorHAnsi" w:eastAsiaTheme="minorEastAsia" w:cstheme="minorBidi"/>
          <w:color w:val="000000"/>
          <w:sz w:val="32"/>
          <w:szCs w:val="22"/>
          <w:lang w:val="en-US" w:eastAsia="en-US" w:bidi="ar-SA"/>
        </w:rPr>
      </w:pPr>
      <w:r>
        <w:rPr>
          <w:rFonts w:ascii="宋体" w:hAnsi="宋体" w:cs="宋体" w:eastAsiaTheme="minorEastAsia"/>
          <w:color w:val="000000"/>
          <w:spacing w:val="-11"/>
          <w:sz w:val="32"/>
          <w:szCs w:val="22"/>
          <w:lang w:val="en-US" w:eastAsia="en-US" w:bidi="ar-SA"/>
        </w:rPr>
        <w:t>高风险限额以下小型工程判定标准</w:t>
      </w:r>
    </w:p>
    <w:p w14:paraId="78D933C0">
      <w:pPr>
        <w:framePr w:w="9665" w:wrap="auto" w:vAnchor="margin" w:hAnchor="text" w:x="1248" w:y="2930"/>
        <w:widowControl w:val="0"/>
        <w:autoSpaceDE w:val="0"/>
        <w:autoSpaceDN w:val="0"/>
        <w:spacing w:line="240" w:lineRule="exact"/>
        <w:ind w:left="456"/>
        <w:rPr>
          <w:rFonts w:hAnsiTheme="minorHAnsi" w:eastAsiaTheme="minorEastAsia" w:cstheme="minorBidi"/>
          <w:color w:val="000000"/>
          <w:szCs w:val="22"/>
          <w:lang w:val="en-US" w:eastAsia="en-US" w:bidi="ar-SA"/>
        </w:rPr>
      </w:pPr>
      <w:r>
        <w:rPr>
          <w:rFonts w:ascii="仿宋" w:hAnsi="仿宋" w:cs="仿宋" w:eastAsiaTheme="minorEastAsia"/>
          <w:color w:val="000000"/>
          <w:spacing w:val="-10"/>
          <w:szCs w:val="22"/>
          <w:lang w:val="en-US" w:eastAsia="en-US" w:bidi="ar-SA"/>
        </w:rPr>
        <w:t>一、在以下公众聚集人员密集的建筑物或场所内进行施工的限额以下小型工程判定为高风</w:t>
      </w:r>
    </w:p>
    <w:p w14:paraId="347C99B0">
      <w:pPr>
        <w:framePr w:w="9665" w:wrap="auto" w:vAnchor="margin" w:hAnchor="text" w:x="1248" w:y="2930"/>
        <w:widowControl w:val="0"/>
        <w:autoSpaceDE w:val="0"/>
        <w:autoSpaceDN w:val="0"/>
        <w:spacing w:before="161"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险限额以下小型工程。</w:t>
      </w:r>
    </w:p>
    <w:p w14:paraId="00085F07">
      <w:pPr>
        <w:framePr w:w="6240" w:wrap="auto" w:vAnchor="margin" w:hAnchor="text" w:x="1704" w:y="3730"/>
        <w:widowControl w:val="0"/>
        <w:autoSpaceDE w:val="0"/>
        <w:autoSpaceDN w:val="0"/>
        <w:spacing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（一）体育场馆、会堂，公共展览馆、博物馆的展示厅；</w:t>
      </w:r>
    </w:p>
    <w:p w14:paraId="290F142A">
      <w:pPr>
        <w:framePr w:w="6720" w:wrap="auto" w:vAnchor="margin" w:hAnchor="text" w:x="1704" w:y="4130"/>
        <w:widowControl w:val="0"/>
        <w:autoSpaceDE w:val="0"/>
        <w:autoSpaceDN w:val="0"/>
        <w:spacing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（二）民用机场航站楼、客运车站候车室、客运码头候船厅；</w:t>
      </w:r>
    </w:p>
    <w:p w14:paraId="620AEDC0">
      <w:pPr>
        <w:framePr w:w="6720" w:wrap="auto" w:vAnchor="margin" w:hAnchor="text" w:x="1704" w:y="4130"/>
        <w:widowControl w:val="0"/>
        <w:autoSpaceDE w:val="0"/>
        <w:autoSpaceDN w:val="0"/>
        <w:spacing w:before="161"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（三）宾馆、饭店、商场、市场；</w:t>
      </w:r>
    </w:p>
    <w:p w14:paraId="34698308">
      <w:pPr>
        <w:framePr w:w="7680" w:wrap="auto" w:vAnchor="margin" w:hAnchor="text" w:x="1704" w:y="4930"/>
        <w:widowControl w:val="0"/>
        <w:autoSpaceDE w:val="0"/>
        <w:autoSpaceDN w:val="0"/>
        <w:spacing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（四）影剧院，公共图书馆的阅览室，营业性室内健身、休闲场馆；</w:t>
      </w:r>
    </w:p>
    <w:p w14:paraId="5DC18712">
      <w:pPr>
        <w:framePr w:w="7680" w:wrap="auto" w:vAnchor="margin" w:hAnchor="text" w:x="1704" w:y="4930"/>
        <w:widowControl w:val="0"/>
        <w:autoSpaceDE w:val="0"/>
        <w:autoSpaceDN w:val="0"/>
        <w:spacing w:before="161"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（五）劳动密集型企业的生产加工车间、员工集体宿舍，寺庙、教堂；</w:t>
      </w:r>
    </w:p>
    <w:p w14:paraId="5E25A865">
      <w:pPr>
        <w:framePr w:w="7680" w:wrap="auto" w:vAnchor="margin" w:hAnchor="text" w:x="1704" w:y="4930"/>
        <w:widowControl w:val="0"/>
        <w:autoSpaceDE w:val="0"/>
        <w:autoSpaceDN w:val="0"/>
        <w:spacing w:before="161"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（六）养老院、福利院，医院的门诊楼，医院、疗养院的病房楼；</w:t>
      </w:r>
    </w:p>
    <w:p w14:paraId="479E1E52">
      <w:pPr>
        <w:framePr w:w="7680" w:wrap="auto" w:vAnchor="margin" w:hAnchor="text" w:x="1704" w:y="4930"/>
        <w:widowControl w:val="0"/>
        <w:autoSpaceDE w:val="0"/>
        <w:autoSpaceDN w:val="0"/>
        <w:spacing w:before="158"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（七）托儿所、幼儿园的儿童用房，儿童游乐厅等室内儿童活动场所；</w:t>
      </w:r>
    </w:p>
    <w:p w14:paraId="7D22AB7E">
      <w:pPr>
        <w:framePr w:w="7680" w:wrap="auto" w:vAnchor="margin" w:hAnchor="text" w:x="1704" w:y="4930"/>
        <w:widowControl w:val="0"/>
        <w:autoSpaceDE w:val="0"/>
        <w:autoSpaceDN w:val="0"/>
        <w:spacing w:before="161"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（八）学校的教学楼、图书馆、食堂、集体宿舍；</w:t>
      </w:r>
    </w:p>
    <w:p w14:paraId="254ECC02">
      <w:pPr>
        <w:framePr w:w="9840" w:wrap="auto" w:vAnchor="margin" w:hAnchor="text" w:x="1248" w:y="6931"/>
        <w:widowControl w:val="0"/>
        <w:autoSpaceDE w:val="0"/>
        <w:autoSpaceDN w:val="0"/>
        <w:spacing w:line="240" w:lineRule="exact"/>
        <w:ind w:left="456"/>
        <w:rPr>
          <w:rFonts w:hAnsiTheme="minorHAnsi" w:eastAsiaTheme="minorEastAsia" w:cstheme="minorBidi"/>
          <w:color w:val="000000"/>
          <w:szCs w:val="22"/>
          <w:lang w:val="en-US" w:eastAsia="en-US" w:bidi="ar-SA"/>
        </w:rPr>
      </w:pPr>
      <w:r>
        <w:rPr>
          <w:rFonts w:ascii="仿宋" w:hAnsi="仿宋" w:cs="仿宋" w:eastAsiaTheme="minorEastAsia"/>
          <w:color w:val="000000"/>
          <w:spacing w:val="-13"/>
          <w:szCs w:val="22"/>
          <w:lang w:val="en-US" w:eastAsia="en-US" w:bidi="ar-SA"/>
        </w:rPr>
        <w:t>（九）歌舞厅、录像厅、放映厅、卡拉ＯＫ厅、夜总会、游艺厅、桑拿浴室、网吧、酒吧，</w:t>
      </w:r>
    </w:p>
    <w:p w14:paraId="10D0C482">
      <w:pPr>
        <w:framePr w:w="9840" w:wrap="auto" w:vAnchor="margin" w:hAnchor="text" w:x="1248" w:y="6931"/>
        <w:widowControl w:val="0"/>
        <w:autoSpaceDE w:val="0"/>
        <w:autoSpaceDN w:val="0"/>
        <w:spacing w:before="158"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具有娱乐功能的餐馆、茶馆、咖啡厅；</w:t>
      </w:r>
    </w:p>
    <w:p w14:paraId="33D33F02">
      <w:pPr>
        <w:framePr w:w="9665" w:wrap="auto" w:vAnchor="margin" w:hAnchor="text" w:x="1248" w:y="7730"/>
        <w:widowControl w:val="0"/>
        <w:autoSpaceDE w:val="0"/>
        <w:autoSpaceDN w:val="0"/>
        <w:spacing w:line="240" w:lineRule="exact"/>
        <w:ind w:left="456"/>
        <w:rPr>
          <w:rFonts w:hAnsiTheme="minorHAnsi" w:eastAsiaTheme="minorEastAsia" w:cstheme="minorBidi"/>
          <w:color w:val="000000"/>
          <w:szCs w:val="22"/>
          <w:lang w:val="en-US" w:eastAsia="en-US" w:bidi="ar-SA"/>
        </w:rPr>
      </w:pPr>
      <w:r>
        <w:rPr>
          <w:rFonts w:ascii="仿宋" w:hAnsi="仿宋" w:cs="仿宋" w:eastAsiaTheme="minorEastAsia"/>
          <w:color w:val="000000"/>
          <w:spacing w:val="-10"/>
          <w:szCs w:val="22"/>
          <w:lang w:val="en-US" w:eastAsia="en-US" w:bidi="ar-SA"/>
        </w:rPr>
        <w:t>（十）生产、储存、装卸易燃易爆危险物品的工厂、仓库和专用车站、码头，易燃易爆气</w:t>
      </w:r>
    </w:p>
    <w:p w14:paraId="5622B340">
      <w:pPr>
        <w:framePr w:w="9665" w:wrap="auto" w:vAnchor="margin" w:hAnchor="text" w:x="1248" w:y="7730"/>
        <w:widowControl w:val="0"/>
        <w:autoSpaceDE w:val="0"/>
        <w:autoSpaceDN w:val="0"/>
        <w:spacing w:before="161"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体和液体的充装站、供应站、调压站；</w:t>
      </w:r>
    </w:p>
    <w:p w14:paraId="022BB62B">
      <w:pPr>
        <w:framePr w:w="9840" w:wrap="auto" w:vAnchor="margin" w:hAnchor="text" w:x="1248" w:y="8530"/>
        <w:widowControl w:val="0"/>
        <w:autoSpaceDE w:val="0"/>
        <w:autoSpaceDN w:val="0"/>
        <w:spacing w:line="240" w:lineRule="exact"/>
        <w:ind w:left="456"/>
        <w:rPr>
          <w:rFonts w:hAnsiTheme="minorHAnsi" w:eastAsiaTheme="minorEastAsia" w:cstheme="minorBidi"/>
          <w:color w:val="000000"/>
          <w:szCs w:val="22"/>
          <w:lang w:val="en-US" w:eastAsia="en-US" w:bidi="ar-SA"/>
        </w:rPr>
      </w:pPr>
      <w:r>
        <w:rPr>
          <w:rFonts w:ascii="仿宋" w:hAnsi="仿宋" w:cs="仿宋" w:eastAsiaTheme="minorEastAsia"/>
          <w:color w:val="000000"/>
          <w:spacing w:val="-13"/>
          <w:szCs w:val="22"/>
          <w:lang w:val="en-US" w:eastAsia="en-US" w:bidi="ar-SA"/>
        </w:rPr>
        <w:t>（十一）国家机关办公楼、电力调度楼、电信楼、邮政楼、防灾指挥调度楼、广播电视楼、</w:t>
      </w:r>
    </w:p>
    <w:p w14:paraId="5F402FEE">
      <w:pPr>
        <w:framePr w:w="9840" w:wrap="auto" w:vAnchor="margin" w:hAnchor="text" w:x="1248" w:y="8530"/>
        <w:widowControl w:val="0"/>
        <w:autoSpaceDE w:val="0"/>
        <w:autoSpaceDN w:val="0"/>
        <w:spacing w:before="161"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档案楼。</w:t>
      </w:r>
    </w:p>
    <w:p w14:paraId="271EC3D7">
      <w:pPr>
        <w:framePr w:w="9665" w:wrap="auto" w:vAnchor="margin" w:hAnchor="text" w:x="1248" w:y="9331"/>
        <w:widowControl w:val="0"/>
        <w:autoSpaceDE w:val="0"/>
        <w:autoSpaceDN w:val="0"/>
        <w:spacing w:line="240" w:lineRule="exact"/>
        <w:ind w:left="456"/>
        <w:rPr>
          <w:rFonts w:hAnsiTheme="minorHAnsi" w:eastAsiaTheme="minorEastAsia" w:cstheme="minorBidi"/>
          <w:color w:val="000000"/>
          <w:szCs w:val="22"/>
          <w:lang w:val="en-US" w:eastAsia="en-US" w:bidi="ar-SA"/>
        </w:rPr>
      </w:pPr>
      <w:r>
        <w:rPr>
          <w:rFonts w:ascii="仿宋" w:hAnsi="仿宋" w:cs="仿宋" w:eastAsiaTheme="minorEastAsia"/>
          <w:color w:val="000000"/>
          <w:spacing w:val="-10"/>
          <w:szCs w:val="22"/>
          <w:lang w:val="en-US" w:eastAsia="en-US" w:bidi="ar-SA"/>
        </w:rPr>
        <w:t>二、含危险性较大的深基坑、有限空间作业、起重吊装等施工内容，容易导致人员群死群</w:t>
      </w:r>
    </w:p>
    <w:p w14:paraId="11957D55">
      <w:pPr>
        <w:framePr w:w="9665" w:wrap="auto" w:vAnchor="margin" w:hAnchor="text" w:x="1248" w:y="9331"/>
        <w:widowControl w:val="0"/>
        <w:autoSpaceDE w:val="0"/>
        <w:autoSpaceDN w:val="0"/>
        <w:spacing w:before="158"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伤的限额以下小型工程判定为高风险限额以下小型工程。</w:t>
      </w:r>
    </w:p>
    <w:p w14:paraId="2EA5A5C0">
      <w:pPr>
        <w:framePr w:w="9840" w:wrap="auto" w:vAnchor="margin" w:hAnchor="text" w:x="1248" w:y="10130"/>
        <w:widowControl w:val="0"/>
        <w:autoSpaceDE w:val="0"/>
        <w:autoSpaceDN w:val="0"/>
        <w:spacing w:line="240" w:lineRule="exact"/>
        <w:ind w:left="456"/>
        <w:rPr>
          <w:rFonts w:hAnsiTheme="minorHAnsi" w:eastAsiaTheme="minorEastAsia" w:cstheme="minorBidi"/>
          <w:color w:val="000000"/>
          <w:szCs w:val="22"/>
          <w:lang w:val="en-US" w:eastAsia="en-US" w:bidi="ar-SA"/>
        </w:rPr>
      </w:pPr>
      <w:r>
        <w:rPr>
          <w:rFonts w:ascii="仿宋" w:hAnsi="仿宋" w:cs="仿宋" w:eastAsiaTheme="minorEastAsia"/>
          <w:color w:val="000000"/>
          <w:spacing w:val="-13"/>
          <w:szCs w:val="22"/>
          <w:lang w:val="en-US" w:eastAsia="en-US" w:bidi="ar-SA"/>
        </w:rPr>
        <w:t>（一）危险性较大的深基坑是指开挖深度超过5m（含5m）的基坑（槽）的土方开挖、支护、</w:t>
      </w:r>
    </w:p>
    <w:p w14:paraId="6B6CDD76">
      <w:pPr>
        <w:framePr w:w="9840" w:wrap="auto" w:vAnchor="margin" w:hAnchor="text" w:x="1248" w:y="10130"/>
        <w:widowControl w:val="0"/>
        <w:autoSpaceDE w:val="0"/>
        <w:autoSpaceDN w:val="0"/>
        <w:spacing w:before="161"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降水工程。</w:t>
      </w:r>
    </w:p>
    <w:p w14:paraId="0EE448B2">
      <w:pPr>
        <w:framePr w:w="10080" w:wrap="auto" w:vAnchor="margin" w:hAnchor="text" w:x="1248" w:y="10930"/>
        <w:widowControl w:val="0"/>
        <w:autoSpaceDE w:val="0"/>
        <w:autoSpaceDN w:val="0"/>
        <w:spacing w:line="240" w:lineRule="exact"/>
        <w:ind w:left="456"/>
        <w:rPr>
          <w:rFonts w:hAnsiTheme="minorHAnsi" w:eastAsiaTheme="minorEastAsia" w:cstheme="minorBidi"/>
          <w:color w:val="000000"/>
          <w:szCs w:val="22"/>
          <w:lang w:val="en-US" w:eastAsia="en-US" w:bidi="ar-SA"/>
        </w:rPr>
      </w:pPr>
      <w:r>
        <w:rPr>
          <w:rFonts w:ascii="仿宋" w:hAnsi="仿宋" w:cs="仿宋" w:eastAsiaTheme="minorEastAsia"/>
          <w:color w:val="000000"/>
          <w:spacing w:val="-10"/>
          <w:szCs w:val="22"/>
          <w:lang w:val="en-US" w:eastAsia="en-US" w:bidi="ar-SA"/>
        </w:rPr>
        <w:t>（二）有限空间是指封闭或部分封闭、进出口受限但人员可以进入、未被设计为固定工作</w:t>
      </w:r>
    </w:p>
    <w:p w14:paraId="60AD2EE1">
      <w:pPr>
        <w:framePr w:w="10080" w:wrap="auto" w:vAnchor="margin" w:hAnchor="text" w:x="1248" w:y="10930"/>
        <w:widowControl w:val="0"/>
        <w:autoSpaceDE w:val="0"/>
        <w:autoSpaceDN w:val="0"/>
        <w:spacing w:before="161"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0"/>
          <w:szCs w:val="22"/>
          <w:lang w:val="en-US" w:eastAsia="en-US" w:bidi="ar-SA"/>
        </w:rPr>
        <w:t>场所、自然通风不良，易造成有毒有害、易燃易爆物质积聚或氧含量不足的空间。有限空间作</w:t>
      </w:r>
    </w:p>
    <w:p w14:paraId="11EB458B">
      <w:pPr>
        <w:framePr w:w="10080" w:wrap="auto" w:vAnchor="margin" w:hAnchor="text" w:x="1248" w:y="10930"/>
        <w:widowControl w:val="0"/>
        <w:autoSpaceDE w:val="0"/>
        <w:autoSpaceDN w:val="0"/>
        <w:spacing w:before="161"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业是指进入有限空间实施的作业活动。</w:t>
      </w:r>
    </w:p>
    <w:p w14:paraId="5F2EBF85">
      <w:pPr>
        <w:framePr w:w="10440" w:wrap="auto" w:vAnchor="margin" w:hAnchor="text" w:x="1248" w:y="12130"/>
        <w:widowControl w:val="0"/>
        <w:autoSpaceDE w:val="0"/>
        <w:autoSpaceDN w:val="0"/>
        <w:spacing w:line="240" w:lineRule="exact"/>
        <w:ind w:left="456"/>
        <w:rPr>
          <w:rFonts w:hAnsiTheme="minorHAnsi" w:eastAsiaTheme="minorEastAsia" w:cstheme="minorBidi"/>
          <w:color w:val="000000"/>
          <w:szCs w:val="22"/>
          <w:lang w:val="en-US" w:eastAsia="en-US" w:bidi="ar-SA"/>
        </w:rPr>
      </w:pPr>
      <w:r>
        <w:rPr>
          <w:rFonts w:ascii="仿宋" w:hAnsi="仿宋" w:cs="仿宋" w:eastAsiaTheme="minorEastAsia"/>
          <w:color w:val="000000"/>
          <w:spacing w:val="-13"/>
          <w:szCs w:val="22"/>
          <w:lang w:val="en-US" w:eastAsia="en-US" w:bidi="ar-SA"/>
        </w:rPr>
        <w:t>（三）危险性较大的起重吊装是指采用起重机械和非常规起重设备、方法进行安装的工程：</w:t>
      </w:r>
    </w:p>
    <w:p w14:paraId="054CF1F0">
      <w:pPr>
        <w:framePr w:w="10440" w:wrap="auto" w:vAnchor="margin" w:hAnchor="text" w:x="1248" w:y="12130"/>
        <w:widowControl w:val="0"/>
        <w:autoSpaceDE w:val="0"/>
        <w:autoSpaceDN w:val="0"/>
        <w:spacing w:before="161" w:line="240" w:lineRule="exact"/>
        <w:ind w:left="456"/>
        <w:rPr>
          <w:rFonts w:hAnsiTheme="minorHAnsi" w:eastAsiaTheme="minorEastAsia" w:cstheme="minorBidi"/>
          <w:color w:val="000000"/>
          <w:szCs w:val="22"/>
          <w:lang w:val="en-US" w:eastAsia="en-US" w:bidi="ar-SA"/>
        </w:rPr>
      </w:pPr>
      <w:r>
        <w:rPr>
          <w:rFonts w:ascii="仿宋" w:hAnsi="仿宋" w:cs="仿宋" w:eastAsiaTheme="minorEastAsia"/>
          <w:color w:val="000000"/>
          <w:spacing w:val="-10"/>
          <w:szCs w:val="22"/>
          <w:lang w:val="en-US" w:eastAsia="en-US" w:bidi="ar-SA"/>
        </w:rPr>
        <w:t>1.采用非常规起重设备、方法，且单件起吊重量在10kN及以上的起重吊装工程。非常规起</w:t>
      </w:r>
    </w:p>
    <w:p w14:paraId="17E2899D">
      <w:pPr>
        <w:framePr w:w="10440" w:wrap="auto" w:vAnchor="margin" w:hAnchor="text" w:x="1248" w:y="12130"/>
        <w:widowControl w:val="0"/>
        <w:autoSpaceDE w:val="0"/>
        <w:autoSpaceDN w:val="0"/>
        <w:spacing w:before="161"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6"/>
          <w:szCs w:val="22"/>
          <w:lang w:val="en-US" w:eastAsia="en-US" w:bidi="ar-SA"/>
        </w:rPr>
        <w:t>重设备、方法包括：采用自制起重设备、设施进行起重作业；2台（或以上）起重设备联合作业；</w:t>
      </w:r>
    </w:p>
    <w:p w14:paraId="51233EC9">
      <w:pPr>
        <w:framePr w:w="10440" w:wrap="auto" w:vAnchor="margin" w:hAnchor="text" w:x="1248" w:y="12130"/>
        <w:widowControl w:val="0"/>
        <w:autoSpaceDE w:val="0"/>
        <w:autoSpaceDN w:val="0"/>
        <w:spacing w:before="158"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0"/>
          <w:szCs w:val="22"/>
          <w:lang w:val="en-US" w:eastAsia="en-US" w:bidi="ar-SA"/>
        </w:rPr>
        <w:t>流动式起重机带载行走；采用滑排、滑轨、滚杠、地牛等措施进行水平位移；采用绞磨、卷扬</w:t>
      </w:r>
    </w:p>
    <w:p w14:paraId="71367C98">
      <w:pPr>
        <w:framePr w:w="10440" w:wrap="auto" w:vAnchor="margin" w:hAnchor="text" w:x="1248" w:y="12130"/>
        <w:widowControl w:val="0"/>
        <w:autoSpaceDE w:val="0"/>
        <w:autoSpaceDN w:val="0"/>
        <w:spacing w:before="161"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机、葫芦或者液压千斤顶等方式进行提升；人力起重工程。</w:t>
      </w:r>
    </w:p>
    <w:p w14:paraId="3D0BC69C">
      <w:pPr>
        <w:framePr w:w="10440" w:wrap="auto" w:vAnchor="margin" w:hAnchor="text" w:x="1248" w:y="12130"/>
        <w:widowControl w:val="0"/>
        <w:autoSpaceDE w:val="0"/>
        <w:autoSpaceDN w:val="0"/>
        <w:spacing w:before="161" w:line="240" w:lineRule="exact"/>
        <w:ind w:left="456"/>
        <w:rPr>
          <w:rFonts w:hAnsiTheme="minorHAnsi" w:eastAsiaTheme="minorEastAsia" w:cstheme="minorBidi"/>
          <w:color w:val="000000"/>
          <w:szCs w:val="22"/>
          <w:lang w:val="en-US" w:eastAsia="en-US" w:bidi="ar-SA"/>
        </w:rPr>
      </w:pPr>
      <w:r>
        <w:rPr>
          <w:rFonts w:ascii="仿宋" w:hAnsi="仿宋" w:cs="仿宋" w:eastAsiaTheme="minorEastAsia"/>
          <w:color w:val="000000"/>
          <w:spacing w:val="-11"/>
          <w:szCs w:val="22"/>
          <w:lang w:val="en-US" w:eastAsia="en-US" w:bidi="ar-SA"/>
        </w:rPr>
        <w:t>2.采用起重机械进行安装的工程。</w:t>
      </w:r>
    </w:p>
    <w:p w14:paraId="19805845">
      <w:pPr>
        <w:framePr w:w="9665" w:wrap="auto" w:vAnchor="margin" w:hAnchor="text" w:x="1248" w:y="14530"/>
        <w:widowControl w:val="0"/>
        <w:autoSpaceDE w:val="0"/>
        <w:autoSpaceDN w:val="0"/>
        <w:spacing w:line="240" w:lineRule="exact"/>
        <w:ind w:left="456"/>
        <w:rPr>
          <w:rFonts w:hAnsiTheme="minorHAnsi" w:eastAsiaTheme="minorEastAsia" w:cstheme="minorBidi"/>
          <w:color w:val="000000"/>
          <w:szCs w:val="22"/>
          <w:lang w:val="en-US" w:eastAsia="en-US" w:bidi="ar-SA"/>
        </w:rPr>
      </w:pPr>
      <w:r>
        <w:rPr>
          <w:rFonts w:ascii="仿宋" w:hAnsi="仿宋" w:cs="仿宋" w:eastAsiaTheme="minorEastAsia"/>
          <w:color w:val="000000"/>
          <w:spacing w:val="-10"/>
          <w:szCs w:val="22"/>
          <w:lang w:val="en-US" w:eastAsia="en-US" w:bidi="ar-SA"/>
        </w:rPr>
        <w:t>三、需要变动建筑主体结构和承重结构的限额以下小型工程判定为高风险限额以下小型工</w:t>
      </w:r>
    </w:p>
    <w:p w14:paraId="5EC9B185">
      <w:pPr>
        <w:framePr w:w="9665" w:wrap="auto" w:vAnchor="margin" w:hAnchor="text" w:x="1248" w:y="14530"/>
        <w:widowControl w:val="0"/>
        <w:autoSpaceDE w:val="0"/>
        <w:autoSpaceDN w:val="0"/>
        <w:spacing w:before="161"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程。</w:t>
      </w:r>
    </w:p>
    <w:p w14:paraId="7C0F71CB">
      <w:pPr>
        <w:framePr w:w="9600" w:wrap="auto" w:vAnchor="margin" w:hAnchor="text" w:x="1704" w:y="15331"/>
        <w:widowControl w:val="0"/>
        <w:autoSpaceDE w:val="0"/>
        <w:autoSpaceDN w:val="0"/>
        <w:spacing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0"/>
          <w:szCs w:val="22"/>
          <w:lang w:val="en-US" w:eastAsia="en-US" w:bidi="ar-SA"/>
        </w:rPr>
        <w:t>（一）建筑主体指建筑实体的结构构造，包括屋盖、楼盖、梁、柱、支撑、墙体、连接接</w:t>
      </w:r>
    </w:p>
    <w:p w14:paraId="3A0F6DE1">
      <w:pPr>
        <w:framePr w:w="1080" w:wrap="auto" w:vAnchor="margin" w:hAnchor="text" w:x="9626" w:y="15974"/>
        <w:widowControl w:val="0"/>
        <w:autoSpaceDE w:val="0"/>
        <w:autoSpaceDN w:val="0"/>
        <w:spacing w:line="240" w:lineRule="exact"/>
        <w:rPr>
          <w:rFonts w:ascii="宋体" w:hAnsiTheme="minorHAnsi" w:eastAsiaTheme="minorEastAsia" w:cstheme="minorBidi"/>
          <w:color w:val="000000"/>
          <w:szCs w:val="22"/>
          <w:lang w:val="en-US" w:eastAsia="en-US" w:bidi="ar-SA"/>
        </w:rPr>
      </w:pPr>
      <w:r>
        <w:rPr>
          <w:rFonts w:ascii="宋体" w:hAnsiTheme="minorHAnsi" w:eastAsiaTheme="minorEastAsia" w:cstheme="minorBidi"/>
          <w:color w:val="000000"/>
          <w:szCs w:val="22"/>
          <w:lang w:val="en-US" w:eastAsia="en-US" w:bidi="ar-SA"/>
        </w:rPr>
        <w:t>- 241 -</w:t>
      </w:r>
    </w:p>
    <w:p w14:paraId="204CE838">
      <w:pPr>
        <w:spacing w:line="0" w:lineRule="atLeast"/>
        <w:rPr>
          <w:rFonts w:ascii="Arial" w:hAnsiTheme="minorHAnsi" w:eastAsiaTheme="minorEastAsia" w:cstheme="minorBidi"/>
          <w:color w:val="FF0000"/>
          <w:sz w:val="2"/>
          <w:szCs w:val="22"/>
          <w:lang w:val="en-US" w:eastAsia="en-US" w:bidi="ar-SA"/>
        </w:rPr>
      </w:pPr>
    </w:p>
    <w:p w14:paraId="3B126348">
      <w:pPr>
        <w:spacing w:line="0" w:lineRule="atLeast"/>
        <w:rPr>
          <w:rFonts w:ascii="Arial" w:hAnsiTheme="minorHAnsi" w:eastAsiaTheme="minorEastAsia" w:cstheme="minorBidi"/>
          <w:color w:val="FF0000"/>
          <w:sz w:val="2"/>
          <w:szCs w:val="22"/>
          <w:lang w:val="en-US" w:eastAsia="en-US" w:bidi="ar-SA"/>
        </w:rPr>
        <w:sectPr>
          <w:pgSz w:w="11900" w:h="16820"/>
          <w:pgMar w:top="0" w:right="0" w:bottom="0" w:left="0" w:header="720" w:footer="720" w:gutter="0"/>
          <w:pgNumType w:start="1"/>
          <w:cols w:space="720" w:num="1"/>
          <w:docGrid w:linePitch="1" w:charSpace="0"/>
        </w:sectPr>
      </w:pPr>
      <w:bookmarkStart w:id="2" w:name="_GoBack"/>
      <w:bookmarkEnd w:id="2"/>
    </w:p>
    <w:p w14:paraId="53521348">
      <w:pPr>
        <w:spacing w:line="0" w:lineRule="atLeast"/>
        <w:rPr>
          <w:rFonts w:ascii="Arial" w:hAnsiTheme="minorHAnsi" w:eastAsiaTheme="minorEastAsia" w:cstheme="minorBidi"/>
          <w:color w:val="FF0000"/>
          <w:sz w:val="2"/>
          <w:szCs w:val="22"/>
          <w:lang w:val="en-US" w:eastAsia="en-US" w:bidi="ar-SA"/>
        </w:rPr>
      </w:pPr>
      <w:bookmarkStart w:id="1" w:name="br1_242"/>
      <w:bookmarkEnd w:id="1"/>
      <w:r>
        <w:rPr>
          <w:rFonts w:ascii="Arial" w:hAnsiTheme="minorHAnsi" w:eastAsiaTheme="minorEastAsia" w:cstheme="minorBidi"/>
          <w:color w:val="FF0000"/>
          <w:sz w:val="2"/>
          <w:szCs w:val="22"/>
          <w:lang w:val="en-US" w:eastAsia="en-US" w:bidi="ar-SA"/>
        </w:rPr>
        <w:t xml:space="preserve"> </w:t>
      </w:r>
    </w:p>
    <w:p w14:paraId="612782C7">
      <w:pPr>
        <w:framePr w:w="9665" w:wrap="auto" w:vAnchor="margin" w:hAnchor="text" w:x="1248" w:y="1570"/>
        <w:widowControl w:val="0"/>
        <w:autoSpaceDE w:val="0"/>
        <w:autoSpaceDN w:val="0"/>
        <w:spacing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点和基础等。</w:t>
      </w:r>
    </w:p>
    <w:p w14:paraId="19E020EA">
      <w:pPr>
        <w:framePr w:w="9665" w:wrap="auto" w:vAnchor="margin" w:hAnchor="text" w:x="1248" w:y="1570"/>
        <w:widowControl w:val="0"/>
        <w:autoSpaceDE w:val="0"/>
        <w:autoSpaceDN w:val="0"/>
        <w:spacing w:before="161" w:line="240" w:lineRule="exact"/>
        <w:ind w:left="456"/>
        <w:rPr>
          <w:rFonts w:hAnsiTheme="minorHAnsi" w:eastAsiaTheme="minorEastAsia" w:cstheme="minorBidi"/>
          <w:color w:val="000000"/>
          <w:szCs w:val="22"/>
          <w:lang w:val="en-US" w:eastAsia="en-US" w:bidi="ar-SA"/>
        </w:rPr>
      </w:pPr>
      <w:r>
        <w:rPr>
          <w:rFonts w:ascii="仿宋" w:hAnsi="仿宋" w:cs="仿宋" w:eastAsiaTheme="minorEastAsia"/>
          <w:color w:val="000000"/>
          <w:spacing w:val="-10"/>
          <w:szCs w:val="22"/>
          <w:lang w:val="en-US" w:eastAsia="en-US" w:bidi="ar-SA"/>
        </w:rPr>
        <w:t>（二）承重结构是指直接将本身自重与各种外加作用力系统地传递给基础地基的主要结构</w:t>
      </w:r>
    </w:p>
    <w:p w14:paraId="150BB228">
      <w:pPr>
        <w:framePr w:w="9840" w:wrap="auto" w:vAnchor="margin" w:hAnchor="text" w:x="1248" w:y="2371"/>
        <w:widowControl w:val="0"/>
        <w:autoSpaceDE w:val="0"/>
        <w:autoSpaceDN w:val="0"/>
        <w:spacing w:line="240" w:lineRule="exact"/>
        <w:rPr>
          <w:rFonts w:hAnsiTheme="minorHAnsi" w:eastAsiaTheme="minorEastAsia" w:cstheme="minorBidi"/>
          <w:color w:val="000000"/>
          <w:szCs w:val="22"/>
          <w:lang w:val="en-US" w:eastAsia="en-US" w:bidi="ar-SA"/>
        </w:rPr>
      </w:pPr>
      <w:r>
        <w:rPr>
          <w:rFonts w:ascii="仿宋" w:hAnsi="仿宋" w:cs="仿宋" w:eastAsiaTheme="minorEastAsia"/>
          <w:color w:val="000000"/>
          <w:spacing w:val="-12"/>
          <w:szCs w:val="22"/>
          <w:lang w:val="en-US" w:eastAsia="en-US" w:bidi="ar-SA"/>
        </w:rPr>
        <w:t>构件和其连接接点，包括承重墙体、立杆、柱、框架柱、支墩、楼板、梁、屋架、悬索等。</w:t>
      </w:r>
    </w:p>
    <w:p w14:paraId="732E8114">
      <w:pPr>
        <w:framePr w:w="1080" w:wrap="auto" w:vAnchor="margin" w:hAnchor="text" w:x="1440" w:y="15974"/>
        <w:widowControl w:val="0"/>
        <w:autoSpaceDE w:val="0"/>
        <w:autoSpaceDN w:val="0"/>
        <w:spacing w:line="240" w:lineRule="exact"/>
        <w:rPr>
          <w:rFonts w:ascii="宋体" w:hAnsiTheme="minorHAnsi" w:eastAsiaTheme="minorEastAsia" w:cstheme="minorBidi"/>
          <w:color w:val="000000"/>
          <w:szCs w:val="22"/>
          <w:lang w:val="en-US" w:eastAsia="en-US" w:bidi="ar-SA"/>
        </w:rPr>
      </w:pPr>
      <w:r>
        <w:rPr>
          <w:rFonts w:ascii="宋体" w:hAnsiTheme="minorHAnsi" w:eastAsiaTheme="minorEastAsia" w:cstheme="minorBidi"/>
          <w:color w:val="000000"/>
          <w:szCs w:val="22"/>
          <w:lang w:val="en-US" w:eastAsia="en-US" w:bidi="ar-SA"/>
        </w:rPr>
        <w:t>- 242 -</w:t>
      </w:r>
    </w:p>
    <w:p w14:paraId="2CA561D2">
      <w:pPr>
        <w:spacing w:line="0" w:lineRule="atLeast"/>
        <w:rPr>
          <w:rFonts w:ascii="Arial" w:hAnsiTheme="minorHAnsi" w:eastAsiaTheme="minorEastAsia" w:cstheme="minorBidi"/>
          <w:color w:val="FF0000"/>
          <w:sz w:val="2"/>
          <w:szCs w:val="22"/>
          <w:lang w:val="en-US" w:eastAsia="en-US" w:bidi="ar-SA"/>
        </w:rPr>
      </w:pPr>
    </w:p>
    <w:p w14:paraId="1C586273">
      <w:pPr>
        <w:spacing w:line="0" w:lineRule="atLeast"/>
        <w:rPr>
          <w:rFonts w:ascii="Arial" w:hAnsiTheme="minorHAnsi" w:eastAsiaTheme="minorEastAsia" w:cstheme="minorBidi"/>
          <w:color w:val="FF0000"/>
          <w:sz w:val="2"/>
          <w:szCs w:val="22"/>
          <w:lang w:val="en-US" w:eastAsia="en-US" w:bidi="ar-SA"/>
        </w:rPr>
        <w:sectPr>
          <w:pgSz w:w="11900" w:h="16820"/>
          <w:pgMar w:top="0" w:right="0" w:bottom="0" w:left="0" w:header="720" w:footer="720" w:gutter="0"/>
          <w:pgNumType w:start="1"/>
          <w:cols w:space="720" w:num="1"/>
          <w:docGrid w:linePitch="1" w:charSpace="0"/>
        </w:sectPr>
      </w:pPr>
    </w:p>
    <w:p w14:paraId="5AFD3B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4238B"/>
    <w:rsid w:val="36781529"/>
    <w:rsid w:val="3760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2595</Words>
  <Characters>2669</Characters>
  <Lines>0</Lines>
  <Paragraphs>0</Paragraphs>
  <TotalTime>4</TotalTime>
  <ScaleCrop>false</ScaleCrop>
  <LinksUpToDate>false</LinksUpToDate>
  <CharactersWithSpaces>2692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2025-05-15T01:54:00Z</dcterms:created>
  <dc:creator>admin</dc:creator>
  <cp:lastModifiedBy>WPS_1646027095</cp:lastModifiedBy>
  <dcterms:modified xsi:type="dcterms:W3CDTF">2025-05-15T09:10:03Z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eyJoZGlkIjoiYzE4MGFkYTkwNjZjODA3YTU3OGUyNDFjZDZiMjMyMWMiLCJ1c2VySWQiOiIxMzM2OTI0Mzc5In0=</vt:lpwstr>
  </property>
  <property fmtid="{D5CDD505-2E9C-101B-9397-08002B2CF9AE}" pid="4" name="ICV">
    <vt:lpwstr>DD55385E96AB453CA801AAB3EA408F3C_13</vt:lpwstr>
  </property>
</Properties>
</file>