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napToGrid/>
        <w:spacing w:line="560" w:lineRule="exact"/>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附件4</w:t>
      </w:r>
    </w:p>
    <w:p>
      <w:pPr>
        <w:pageBreakBefore w:val="0"/>
        <w:widowControl w:val="0"/>
        <w:kinsoku/>
        <w:wordWrap/>
        <w:overflowPunct/>
        <w:topLinePunct w:val="0"/>
        <w:autoSpaceDE/>
        <w:autoSpaceDN/>
        <w:bidi w:val="0"/>
        <w:snapToGrid/>
        <w:spacing w:line="560" w:lineRule="exact"/>
        <w:ind w:firstLine="0" w:firstLineChars="0"/>
        <w:textAlignment w:val="auto"/>
        <w:rPr>
          <w:rFonts w:hint="eastAsia" w:ascii="Times New Roman" w:hAnsi="Times New Roman" w:eastAsia="方正小标宋简体" w:cs="方正小标宋简体"/>
          <w:b/>
          <w:sz w:val="36"/>
          <w:szCs w:val="36"/>
        </w:rPr>
      </w:pPr>
      <w:bookmarkStart w:id="0" w:name="_GoBack"/>
      <w:bookmarkEnd w:id="0"/>
      <w:r>
        <w:rPr>
          <w:rFonts w:hint="eastAsia" w:ascii="Times New Roman" w:hAnsi="Times New Roman" w:eastAsia="方正小标宋简体" w:cs="方正小标宋简体"/>
          <w:b w:val="0"/>
          <w:bCs/>
          <w:sz w:val="36"/>
          <w:szCs w:val="36"/>
        </w:rPr>
        <w:t>使用母（子）公司资质参加品牌展位评审的相关要求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黑体"/>
          <w:sz w:val="32"/>
          <w:szCs w:val="22"/>
        </w:rPr>
      </w:pPr>
    </w:p>
    <w:p>
      <w:pPr>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仿宋_GB2312" w:cs="黑体"/>
          <w:bCs w:val="0"/>
          <w:sz w:val="32"/>
          <w:szCs w:val="22"/>
        </w:rPr>
      </w:pPr>
      <w:r>
        <w:rPr>
          <w:rFonts w:hint="eastAsia" w:ascii="Times New Roman" w:hAnsi="Times New Roman" w:eastAsia="黑体"/>
          <w:bCs/>
          <w:snapToGrid/>
          <w:kern w:val="0"/>
          <w:sz w:val="32"/>
          <w:szCs w:val="32"/>
        </w:rPr>
        <w:t>一、允许使用母（子）公司有关资质的情形</w:t>
      </w:r>
    </w:p>
    <w:p>
      <w:pPr>
        <w:pageBreakBefore w:val="0"/>
        <w:widowControl w:val="0"/>
        <w:kinsoku/>
        <w:wordWrap/>
        <w:overflowPunct/>
        <w:topLinePunct w:val="0"/>
        <w:autoSpaceDE/>
        <w:autoSpaceDN/>
        <w:bidi w:val="0"/>
        <w:snapToGrid/>
        <w:spacing w:line="560" w:lineRule="exact"/>
        <w:ind w:firstLine="642" w:firstLineChars="200"/>
        <w:textAlignment w:val="auto"/>
        <w:rPr>
          <w:rFonts w:ascii="Times New Roman" w:hAnsi="Times New Roman" w:eastAsia="仿宋_GB2312" w:cs="黑体"/>
          <w:sz w:val="32"/>
          <w:szCs w:val="22"/>
        </w:rPr>
      </w:pPr>
      <w:r>
        <w:rPr>
          <w:rFonts w:hint="eastAsia" w:ascii="Times New Roman" w:hAnsi="Times New Roman" w:eastAsia="楷体_GB2312" w:cs="黑体"/>
          <w:b/>
          <w:bCs/>
          <w:sz w:val="32"/>
          <w:szCs w:val="32"/>
        </w:rPr>
        <w:t>（一）</w:t>
      </w:r>
      <w:r>
        <w:rPr>
          <w:rFonts w:hint="eastAsia" w:ascii="Times New Roman" w:hAnsi="Times New Roman" w:eastAsia="仿宋_GB2312" w:cs="黑体"/>
          <w:sz w:val="32"/>
          <w:szCs w:val="22"/>
        </w:rPr>
        <w:t>母公司可使用全资子公司的出口额、境内外商标、国际通行认证、研发创新和自主知识产权等四类资质参评。</w:t>
      </w:r>
    </w:p>
    <w:p>
      <w:pPr>
        <w:pageBreakBefore w:val="0"/>
        <w:widowControl w:val="0"/>
        <w:kinsoku/>
        <w:wordWrap/>
        <w:overflowPunct/>
        <w:topLinePunct w:val="0"/>
        <w:autoSpaceDE/>
        <w:autoSpaceDN/>
        <w:bidi w:val="0"/>
        <w:snapToGrid/>
        <w:spacing w:line="560" w:lineRule="exact"/>
        <w:ind w:firstLine="642" w:firstLineChars="200"/>
        <w:textAlignment w:val="auto"/>
        <w:rPr>
          <w:rFonts w:ascii="Times New Roman" w:hAnsi="Times New Roman" w:eastAsia="仿宋" w:cs="黑体"/>
          <w:sz w:val="32"/>
          <w:szCs w:val="22"/>
        </w:rPr>
      </w:pPr>
      <w:r>
        <w:rPr>
          <w:rFonts w:hint="eastAsia" w:ascii="Times New Roman" w:hAnsi="Times New Roman" w:eastAsia="楷体_GB2312" w:cs="黑体"/>
          <w:b/>
          <w:bCs/>
          <w:sz w:val="32"/>
          <w:szCs w:val="32"/>
        </w:rPr>
        <w:t>（二）</w:t>
      </w:r>
      <w:r>
        <w:rPr>
          <w:rFonts w:hint="eastAsia" w:ascii="Times New Roman" w:hAnsi="Times New Roman" w:eastAsia="仿宋_GB2312" w:cs="黑体"/>
          <w:sz w:val="32"/>
          <w:szCs w:val="22"/>
        </w:rPr>
        <w:t>母公司可使用绝对控股子公司或相对控股子公司的出口额、境内外商标、研发创新和自主知识产权等三类资质参评，且需该子公司书面授权。授权方的各类资质在同一展区均只能授权给一家公司，不得重复或拆分授权。</w:t>
      </w:r>
    </w:p>
    <w:p>
      <w:pPr>
        <w:pageBreakBefore w:val="0"/>
        <w:widowControl w:val="0"/>
        <w:kinsoku/>
        <w:wordWrap/>
        <w:overflowPunct/>
        <w:topLinePunct w:val="0"/>
        <w:autoSpaceDE/>
        <w:autoSpaceDN/>
        <w:bidi w:val="0"/>
        <w:snapToGrid/>
        <w:spacing w:line="560" w:lineRule="exact"/>
        <w:ind w:firstLine="642" w:firstLineChars="200"/>
        <w:textAlignment w:val="auto"/>
        <w:rPr>
          <w:rFonts w:ascii="Times New Roman" w:hAnsi="Times New Roman" w:eastAsia="仿宋" w:cs="黑体"/>
          <w:sz w:val="32"/>
          <w:szCs w:val="22"/>
        </w:rPr>
      </w:pPr>
      <w:r>
        <w:rPr>
          <w:rFonts w:hint="eastAsia" w:ascii="Times New Roman" w:hAnsi="Times New Roman" w:eastAsia="楷体_GB2312" w:cs="黑体"/>
          <w:b/>
          <w:bCs/>
          <w:sz w:val="32"/>
          <w:szCs w:val="32"/>
        </w:rPr>
        <w:t>（三）</w:t>
      </w:r>
      <w:r>
        <w:rPr>
          <w:rFonts w:hint="eastAsia" w:ascii="Times New Roman" w:hAnsi="Times New Roman" w:eastAsia="仿宋_GB2312" w:cs="黑体"/>
          <w:sz w:val="32"/>
          <w:szCs w:val="22"/>
        </w:rPr>
        <w:t>子公司可使用对其绝对控股的母公司或该母公司绝对控股的其他子公司的出口额、境内外商标、研发创新和自主知识产权等三类资质参评，且需该母公司或其他子公司书面授权。授权方的各类资质在同一展区均只能授权给一家公司，不得重复或拆分授权。被授权方在同一展区只能接受每类资质的一次授权。</w:t>
      </w:r>
    </w:p>
    <w:p>
      <w:pPr>
        <w:keepNext/>
        <w:keepLines/>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1"/>
        <w:rPr>
          <w:rFonts w:ascii="Times New Roman" w:hAnsi="Times New Roman" w:eastAsia="黑体" w:cs="Times New Roman"/>
          <w:bCs/>
          <w:snapToGrid/>
          <w:kern w:val="0"/>
          <w:sz w:val="32"/>
          <w:szCs w:val="32"/>
          <w:lang w:val="en-US" w:eastAsia="zh-CN" w:bidi="ar-SA"/>
        </w:rPr>
      </w:pPr>
      <w:r>
        <w:rPr>
          <w:rFonts w:hint="eastAsia" w:ascii="Times New Roman" w:hAnsi="Times New Roman" w:eastAsia="黑体" w:cs="Times New Roman"/>
          <w:bCs/>
          <w:snapToGrid/>
          <w:kern w:val="0"/>
          <w:sz w:val="32"/>
          <w:szCs w:val="32"/>
          <w:lang w:val="en-US" w:eastAsia="zh-CN" w:bidi="ar-SA"/>
        </w:rPr>
        <w:t>二、相关条件</w:t>
      </w:r>
    </w:p>
    <w:p>
      <w:pPr>
        <w:pageBreakBefore w:val="0"/>
        <w:widowControl w:val="0"/>
        <w:kinsoku/>
        <w:wordWrap/>
        <w:overflowPunct/>
        <w:topLinePunct w:val="0"/>
        <w:autoSpaceDE/>
        <w:autoSpaceDN/>
        <w:bidi w:val="0"/>
        <w:snapToGrid/>
        <w:spacing w:line="560" w:lineRule="exact"/>
        <w:ind w:firstLine="642" w:firstLineChars="200"/>
        <w:textAlignment w:val="auto"/>
        <w:rPr>
          <w:rFonts w:ascii="Times New Roman" w:hAnsi="Times New Roman" w:eastAsia="仿宋_GB2312" w:cs="黑体"/>
          <w:sz w:val="32"/>
          <w:szCs w:val="32"/>
        </w:rPr>
      </w:pPr>
      <w:r>
        <w:rPr>
          <w:rFonts w:hint="eastAsia" w:ascii="Times New Roman" w:hAnsi="Times New Roman" w:eastAsia="楷体_GB2312" w:cs="黑体"/>
          <w:b/>
          <w:bCs/>
          <w:sz w:val="32"/>
          <w:szCs w:val="32"/>
        </w:rPr>
        <w:t>（一）</w:t>
      </w:r>
      <w:r>
        <w:rPr>
          <w:rFonts w:hint="eastAsia" w:ascii="仿宋" w:hAnsi="仿宋" w:eastAsia="仿宋" w:cs="仿宋"/>
          <w:sz w:val="32"/>
          <w:szCs w:val="22"/>
        </w:rPr>
        <w:t>属</w:t>
      </w:r>
      <w:r>
        <w:rPr>
          <w:rFonts w:ascii="Times New Roman" w:hAnsi="Times New Roman" w:eastAsia="仿宋_GB2312" w:cs="黑体"/>
          <w:sz w:val="32"/>
          <w:szCs w:val="22"/>
        </w:rPr>
        <w:t>第</w:t>
      </w:r>
      <w:r>
        <w:rPr>
          <w:rFonts w:hint="eastAsia" w:ascii="Times New Roman" w:hAnsi="Times New Roman" w:eastAsia="仿宋_GB2312" w:cs="黑体"/>
          <w:sz w:val="32"/>
          <w:szCs w:val="22"/>
        </w:rPr>
        <w:t>一条所述范围的全资子公司或授权方，在使</w:t>
      </w:r>
      <w:r>
        <w:rPr>
          <w:rFonts w:hint="eastAsia" w:ascii="Times New Roman" w:hAnsi="Times New Roman" w:eastAsia="仿宋_GB2312" w:cs="黑体"/>
          <w:sz w:val="32"/>
          <w:szCs w:val="32"/>
        </w:rPr>
        <w:t>用其资质的相应展区</w:t>
      </w:r>
      <w:r>
        <w:rPr>
          <w:rFonts w:ascii="Times New Roman" w:hAnsi="Times New Roman" w:eastAsia="仿宋_GB2312" w:cs="黑体"/>
          <w:sz w:val="32"/>
          <w:szCs w:val="32"/>
        </w:rPr>
        <w:t>不得再</w:t>
      </w:r>
      <w:r>
        <w:rPr>
          <w:rFonts w:hint="eastAsia" w:ascii="Times New Roman" w:hAnsi="Times New Roman" w:eastAsia="仿宋_GB2312" w:cs="黑体"/>
          <w:sz w:val="32"/>
          <w:szCs w:val="32"/>
        </w:rPr>
        <w:t>单独</w:t>
      </w:r>
      <w:r>
        <w:rPr>
          <w:rFonts w:ascii="Times New Roman" w:hAnsi="Times New Roman" w:eastAsia="仿宋_GB2312" w:cs="黑体"/>
          <w:sz w:val="32"/>
          <w:szCs w:val="32"/>
        </w:rPr>
        <w:t>参加评审。</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黑体"/>
          <w:b/>
          <w:bCs/>
          <w:sz w:val="32"/>
          <w:szCs w:val="22"/>
          <w:lang w:eastAsia="zh-CN"/>
        </w:rPr>
      </w:pPr>
      <w:r>
        <w:rPr>
          <w:rFonts w:hint="eastAsia" w:ascii="Times New Roman" w:hAnsi="Times New Roman" w:eastAsia="仿宋_GB2312" w:cs="黑体"/>
          <w:sz w:val="32"/>
          <w:szCs w:val="22"/>
        </w:rPr>
        <w:t>其中，如</w:t>
      </w:r>
      <w:r>
        <w:rPr>
          <w:rFonts w:hint="eastAsia" w:ascii="Times New Roman" w:hAnsi="Times New Roman" w:eastAsia="仿宋_GB2312" w:cs="黑体"/>
          <w:b/>
          <w:sz w:val="32"/>
          <w:szCs w:val="22"/>
        </w:rPr>
        <w:t>全资子公司或授权方</w:t>
      </w:r>
      <w:r>
        <w:rPr>
          <w:rFonts w:hint="eastAsia" w:ascii="Times New Roman" w:hAnsi="Times New Roman" w:eastAsia="仿宋_GB2312" w:cs="黑体"/>
          <w:sz w:val="32"/>
          <w:szCs w:val="22"/>
        </w:rPr>
        <w:t>授权使用其资质的展区属于机械类、工程农机类、服装类、礼品装饰品类、日用品类等</w:t>
      </w:r>
      <w:r>
        <w:rPr>
          <w:rFonts w:hint="default" w:ascii="Times New Roman" w:hAnsi="Times New Roman" w:eastAsia="仿宋_GB2312" w:cs="Times New Roman"/>
          <w:sz w:val="32"/>
          <w:szCs w:val="22"/>
        </w:rPr>
        <w:t>5</w:t>
      </w:r>
      <w:r>
        <w:rPr>
          <w:rFonts w:hint="eastAsia" w:ascii="Times New Roman" w:hAnsi="Times New Roman" w:eastAsia="仿宋_GB2312" w:cs="黑体"/>
          <w:sz w:val="32"/>
          <w:szCs w:val="22"/>
        </w:rPr>
        <w:t>大类（展区与类别对应关系详见《品牌展位</w:t>
      </w:r>
      <w:r>
        <w:rPr>
          <w:rFonts w:hint="default" w:ascii="Times New Roman" w:hAnsi="Times New Roman" w:eastAsia="仿宋_GB2312" w:cs="黑体"/>
          <w:sz w:val="32"/>
          <w:szCs w:val="22"/>
          <w:lang w:val="en"/>
        </w:rPr>
        <w:t>展区设置及申请企业</w:t>
      </w:r>
      <w:r>
        <w:rPr>
          <w:rFonts w:hint="eastAsia" w:ascii="Times New Roman" w:hAnsi="Times New Roman" w:eastAsia="仿宋_GB2312" w:cs="黑体"/>
          <w:sz w:val="32"/>
          <w:szCs w:val="22"/>
        </w:rPr>
        <w:t>最低出口额标准》），其在该展区对应大类的其他所有展区中，</w:t>
      </w:r>
      <w:r>
        <w:rPr>
          <w:rFonts w:ascii="Times New Roman" w:hAnsi="Times New Roman" w:eastAsia="仿宋_GB2312" w:cs="黑体"/>
          <w:sz w:val="32"/>
          <w:szCs w:val="22"/>
        </w:rPr>
        <w:t>均不得再</w:t>
      </w:r>
      <w:r>
        <w:rPr>
          <w:rFonts w:hint="eastAsia" w:ascii="Times New Roman" w:hAnsi="Times New Roman" w:eastAsia="仿宋_GB2312" w:cs="黑体"/>
          <w:sz w:val="32"/>
          <w:szCs w:val="22"/>
        </w:rPr>
        <w:t>单独</w:t>
      </w:r>
      <w:r>
        <w:rPr>
          <w:rFonts w:ascii="Times New Roman" w:hAnsi="Times New Roman" w:eastAsia="仿宋_GB2312" w:cs="黑体"/>
          <w:sz w:val="32"/>
          <w:szCs w:val="22"/>
        </w:rPr>
        <w:t>参加</w:t>
      </w:r>
      <w:r>
        <w:rPr>
          <w:rFonts w:hint="eastAsia" w:ascii="Times New Roman" w:hAnsi="Times New Roman" w:eastAsia="仿宋_GB2312" w:cs="黑体"/>
          <w:sz w:val="32"/>
          <w:szCs w:val="22"/>
          <w:lang w:eastAsia="zh-CN"/>
        </w:rPr>
        <w:t>评审，</w:t>
      </w:r>
      <w:r>
        <w:rPr>
          <w:rFonts w:hint="eastAsia" w:ascii="Times New Roman" w:hAnsi="Times New Roman" w:eastAsia="仿宋_GB2312" w:cs="黑体"/>
          <w:b/>
          <w:bCs/>
          <w:sz w:val="32"/>
          <w:szCs w:val="22"/>
          <w:lang w:eastAsia="zh-CN"/>
        </w:rPr>
        <w:t>也不得将其资质再次授权给其他公司。</w:t>
      </w:r>
    </w:p>
    <w:p>
      <w:pPr>
        <w:pageBreakBefore w:val="0"/>
        <w:widowControl w:val="0"/>
        <w:kinsoku/>
        <w:wordWrap/>
        <w:overflowPunct/>
        <w:topLinePunct w:val="0"/>
        <w:autoSpaceDE/>
        <w:autoSpaceDN/>
        <w:bidi w:val="0"/>
        <w:snapToGrid/>
        <w:spacing w:line="560" w:lineRule="exact"/>
        <w:ind w:firstLine="642" w:firstLineChars="200"/>
        <w:textAlignment w:val="auto"/>
        <w:rPr>
          <w:rFonts w:ascii="Times New Roman" w:hAnsi="Times New Roman" w:eastAsia="仿宋_GB2312" w:cs="黑体"/>
          <w:sz w:val="32"/>
          <w:szCs w:val="22"/>
        </w:rPr>
      </w:pPr>
      <w:r>
        <w:rPr>
          <w:rFonts w:hint="eastAsia" w:ascii="Times New Roman" w:hAnsi="Times New Roman" w:eastAsia="楷体_GB2312" w:cs="黑体"/>
          <w:b/>
          <w:bCs/>
          <w:sz w:val="32"/>
          <w:szCs w:val="32"/>
        </w:rPr>
        <w:t>（二）</w:t>
      </w:r>
      <w:r>
        <w:rPr>
          <w:rFonts w:hint="eastAsia" w:ascii="仿宋" w:hAnsi="仿宋" w:eastAsia="仿宋" w:cs="仿宋"/>
          <w:sz w:val="32"/>
          <w:szCs w:val="22"/>
        </w:rPr>
        <w:t>使用</w:t>
      </w:r>
      <w:r>
        <w:rPr>
          <w:rFonts w:hint="eastAsia" w:ascii="Times New Roman" w:hAnsi="Times New Roman" w:eastAsia="仿宋_GB2312" w:cs="黑体"/>
          <w:sz w:val="32"/>
          <w:szCs w:val="22"/>
        </w:rPr>
        <w:t xml:space="preserve">母（子）公司资质参评的，须在提交申报文件时同时提供以下材料： </w:t>
      </w:r>
    </w:p>
    <w:p>
      <w:pPr>
        <w:pageBreakBefore w:val="0"/>
        <w:widowControl w:val="0"/>
        <w:kinsoku/>
        <w:wordWrap/>
        <w:overflowPunct/>
        <w:topLinePunct w:val="0"/>
        <w:autoSpaceDE/>
        <w:autoSpaceDN/>
        <w:bidi w:val="0"/>
        <w:snapToGrid/>
        <w:spacing w:line="560" w:lineRule="exact"/>
        <w:ind w:firstLine="642" w:firstLineChars="200"/>
        <w:textAlignment w:val="auto"/>
        <w:rPr>
          <w:rFonts w:ascii="Times New Roman" w:hAnsi="Times New Roman" w:eastAsia="仿宋_GB2312" w:cs="黑体"/>
          <w:b/>
          <w:sz w:val="32"/>
          <w:szCs w:val="22"/>
        </w:rPr>
      </w:pPr>
      <w:r>
        <w:rPr>
          <w:rFonts w:hint="eastAsia" w:ascii="Times New Roman" w:hAnsi="Times New Roman" w:eastAsia="仿宋_GB2312" w:cs="黑体"/>
          <w:b/>
          <w:sz w:val="32"/>
          <w:szCs w:val="22"/>
        </w:rPr>
        <w:t>1.母（子）公司关系证明文件。</w:t>
      </w:r>
    </w:p>
    <w:p>
      <w:pPr>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仿宋_GB2312" w:cs="黑体"/>
          <w:sz w:val="32"/>
          <w:szCs w:val="32"/>
        </w:rPr>
      </w:pPr>
      <w:r>
        <w:rPr>
          <w:rFonts w:hint="eastAsia" w:ascii="Times New Roman" w:hAnsi="Times New Roman" w:eastAsia="仿宋_GB2312" w:cs="仿宋_GB2312"/>
          <w:sz w:val="32"/>
          <w:szCs w:val="32"/>
          <w:lang w:val="zh-TW"/>
        </w:rPr>
        <w:t>属全资关系的，须提供母公司为子公司唯一股东的证明材料；属</w:t>
      </w:r>
      <w:r>
        <w:rPr>
          <w:rFonts w:hint="eastAsia" w:ascii="Times New Roman" w:hAnsi="Times New Roman" w:eastAsia="仿宋_GB2312" w:cs="仿宋_GB2312"/>
          <w:sz w:val="32"/>
          <w:szCs w:val="32"/>
          <w:lang w:val="zh-CN"/>
        </w:rPr>
        <w:t>绝对控股关系的</w:t>
      </w:r>
      <w:r>
        <w:rPr>
          <w:rFonts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lang w:val="zh-TW"/>
        </w:rPr>
        <w:t>须</w:t>
      </w:r>
      <w:r>
        <w:rPr>
          <w:rFonts w:ascii="Times New Roman" w:hAnsi="Times New Roman" w:eastAsia="仿宋_GB2312" w:cs="仿宋_GB2312"/>
          <w:sz w:val="32"/>
          <w:szCs w:val="32"/>
          <w:lang w:val="zh-TW" w:eastAsia="zh-TW"/>
        </w:rPr>
        <w:t>提供</w:t>
      </w:r>
      <w:r>
        <w:rPr>
          <w:rFonts w:hint="eastAsia" w:ascii="Times New Roman" w:hAnsi="Times New Roman" w:eastAsia="仿宋_GB2312" w:cs="仿宋_GB2312"/>
          <w:sz w:val="32"/>
          <w:szCs w:val="32"/>
          <w:lang w:val="zh-TW"/>
        </w:rPr>
        <w:t>母公司出资额占子公司资本总额</w:t>
      </w:r>
      <w:r>
        <w:rPr>
          <w:rFonts w:hint="default" w:ascii="Times New Roman" w:hAnsi="Times New Roman" w:eastAsia="仿宋_GB2312" w:cs="Times New Roman"/>
          <w:sz w:val="32"/>
          <w:szCs w:val="32"/>
          <w:lang w:val="zh-TW"/>
        </w:rPr>
        <w:t>50%</w:t>
      </w:r>
      <w:r>
        <w:rPr>
          <w:rFonts w:hint="eastAsia" w:ascii="Times New Roman" w:hAnsi="Times New Roman" w:eastAsia="仿宋_GB2312" w:cs="仿宋_GB2312"/>
          <w:sz w:val="32"/>
          <w:szCs w:val="32"/>
          <w:lang w:val="zh-TW"/>
        </w:rPr>
        <w:t>以上或者其持有的股份占子公司股本总额</w:t>
      </w:r>
      <w:r>
        <w:rPr>
          <w:rFonts w:hint="default" w:ascii="Times New Roman" w:hAnsi="Times New Roman" w:eastAsia="仿宋_GB2312" w:cs="Times New Roman"/>
          <w:sz w:val="32"/>
          <w:szCs w:val="32"/>
          <w:lang w:val="zh-TW"/>
        </w:rPr>
        <w:t>50%</w:t>
      </w:r>
      <w:r>
        <w:rPr>
          <w:rFonts w:hint="eastAsia" w:ascii="Times New Roman" w:hAnsi="Times New Roman" w:eastAsia="仿宋_GB2312" w:cs="仿宋_GB2312"/>
          <w:sz w:val="32"/>
          <w:szCs w:val="32"/>
          <w:lang w:val="zh-TW"/>
        </w:rPr>
        <w:t>以上的</w:t>
      </w:r>
      <w:r>
        <w:rPr>
          <w:rFonts w:ascii="Times New Roman" w:hAnsi="Times New Roman" w:eastAsia="仿宋_GB2312" w:cs="仿宋_GB2312"/>
          <w:sz w:val="32"/>
          <w:szCs w:val="32"/>
          <w:lang w:val="zh-TW" w:eastAsia="zh-TW"/>
        </w:rPr>
        <w:t>证明</w:t>
      </w:r>
      <w:r>
        <w:rPr>
          <w:rFonts w:hint="eastAsia" w:ascii="Times New Roman" w:hAnsi="Times New Roman" w:eastAsia="仿宋_GB2312" w:cs="仿宋_GB2312"/>
          <w:sz w:val="32"/>
          <w:szCs w:val="32"/>
          <w:lang w:val="zh-TW"/>
        </w:rPr>
        <w:t>文件；属</w:t>
      </w:r>
      <w:r>
        <w:rPr>
          <w:rFonts w:ascii="Times New Roman" w:hAnsi="Times New Roman" w:eastAsia="仿宋_GB2312" w:cs="仿宋_GB2312"/>
          <w:sz w:val="32"/>
          <w:szCs w:val="32"/>
          <w:lang w:val="zh-TW" w:eastAsia="zh-TW"/>
        </w:rPr>
        <w:t>相对控股</w:t>
      </w:r>
      <w:r>
        <w:rPr>
          <w:rFonts w:hint="eastAsia" w:ascii="Times New Roman" w:hAnsi="Times New Roman" w:eastAsia="仿宋_GB2312" w:cs="仿宋_GB2312"/>
          <w:sz w:val="32"/>
          <w:szCs w:val="32"/>
          <w:lang w:val="zh-TW"/>
        </w:rPr>
        <w:t>关系</w:t>
      </w:r>
      <w:r>
        <w:rPr>
          <w:rFonts w:ascii="Times New Roman" w:hAnsi="Times New Roman" w:eastAsia="仿宋_GB2312" w:cs="仿宋_GB2312"/>
          <w:sz w:val="32"/>
          <w:szCs w:val="32"/>
          <w:lang w:val="zh-TW" w:eastAsia="zh-TW"/>
        </w:rPr>
        <w:t>的，</w:t>
      </w:r>
      <w:r>
        <w:rPr>
          <w:rFonts w:hint="eastAsia" w:ascii="Times New Roman" w:hAnsi="Times New Roman" w:eastAsia="仿宋_GB2312" w:cs="仿宋_GB2312"/>
          <w:sz w:val="32"/>
          <w:szCs w:val="32"/>
          <w:lang w:val="zh-TW"/>
        </w:rPr>
        <w:t>须</w:t>
      </w:r>
      <w:r>
        <w:rPr>
          <w:rFonts w:ascii="Times New Roman" w:hAnsi="Times New Roman" w:eastAsia="仿宋_GB2312" w:cs="仿宋_GB2312"/>
          <w:sz w:val="32"/>
          <w:szCs w:val="32"/>
          <w:lang w:val="zh-TW" w:eastAsia="zh-TW"/>
        </w:rPr>
        <w:t>提供</w:t>
      </w:r>
      <w:r>
        <w:rPr>
          <w:rFonts w:ascii="Times New Roman" w:hAnsi="Times New Roman" w:eastAsia="仿宋_GB2312" w:cs="黑体"/>
          <w:sz w:val="32"/>
          <w:szCs w:val="32"/>
        </w:rPr>
        <w:t>母公司为子公司第一大股东的证明文件。证明文件（如工商登记证等）须加盖所在地</w:t>
      </w:r>
      <w:r>
        <w:rPr>
          <w:rFonts w:hint="eastAsia" w:ascii="Times New Roman" w:hAnsi="Times New Roman" w:eastAsia="仿宋_GB2312" w:cs="黑体"/>
          <w:sz w:val="32"/>
          <w:szCs w:val="32"/>
          <w:lang w:eastAsia="zh-CN"/>
        </w:rPr>
        <w:t>县</w:t>
      </w:r>
      <w:r>
        <w:rPr>
          <w:rFonts w:ascii="Times New Roman" w:hAnsi="Times New Roman" w:eastAsia="仿宋_GB2312" w:cs="黑体"/>
          <w:sz w:val="32"/>
          <w:szCs w:val="32"/>
        </w:rPr>
        <w:t>级以上工商部门公章；属各地各级国资委管理的企业，可以国资委文件替代工商部门文件。</w:t>
      </w:r>
    </w:p>
    <w:p>
      <w:pPr>
        <w:pageBreakBefore w:val="0"/>
        <w:widowControl w:val="0"/>
        <w:kinsoku/>
        <w:wordWrap/>
        <w:overflowPunct/>
        <w:topLinePunct w:val="0"/>
        <w:autoSpaceDE/>
        <w:autoSpaceDN/>
        <w:bidi w:val="0"/>
        <w:snapToGrid/>
        <w:spacing w:line="560" w:lineRule="exact"/>
        <w:ind w:firstLine="642" w:firstLineChars="200"/>
        <w:textAlignment w:val="auto"/>
        <w:rPr>
          <w:rFonts w:ascii="Times New Roman" w:hAnsi="Times New Roman" w:eastAsia="仿宋_GB2312" w:cs="黑体"/>
          <w:b/>
          <w:sz w:val="32"/>
          <w:szCs w:val="22"/>
        </w:rPr>
      </w:pPr>
      <w:r>
        <w:rPr>
          <w:rFonts w:hint="eastAsia" w:ascii="Times New Roman" w:hAnsi="Times New Roman" w:eastAsia="仿宋_GB2312" w:cs="黑体"/>
          <w:b/>
          <w:sz w:val="32"/>
          <w:szCs w:val="22"/>
        </w:rPr>
        <w:t>2.</w:t>
      </w:r>
      <w:r>
        <w:rPr>
          <w:rFonts w:ascii="Times New Roman" w:hAnsi="Times New Roman" w:eastAsia="仿宋_GB2312" w:cs="黑体"/>
          <w:b/>
          <w:sz w:val="32"/>
          <w:szCs w:val="22"/>
        </w:rPr>
        <w:t>具有法律效力的、经授权</w:t>
      </w:r>
      <w:r>
        <w:rPr>
          <w:rFonts w:hint="eastAsia" w:ascii="Times New Roman" w:hAnsi="Times New Roman" w:eastAsia="仿宋_GB2312" w:cs="黑体"/>
          <w:b/>
          <w:sz w:val="32"/>
          <w:szCs w:val="22"/>
        </w:rPr>
        <w:t>方</w:t>
      </w:r>
      <w:r>
        <w:rPr>
          <w:rFonts w:ascii="Times New Roman" w:hAnsi="Times New Roman" w:eastAsia="仿宋_GB2312" w:cs="黑体"/>
          <w:b/>
          <w:sz w:val="32"/>
          <w:szCs w:val="22"/>
        </w:rPr>
        <w:t>法人代表签字并加盖公章的授权书</w:t>
      </w:r>
      <w:r>
        <w:rPr>
          <w:rFonts w:hint="eastAsia" w:ascii="Times New Roman" w:hAnsi="Times New Roman" w:eastAsia="仿宋_GB2312" w:cs="黑体"/>
          <w:b/>
          <w:sz w:val="32"/>
          <w:szCs w:val="22"/>
        </w:rPr>
        <w:t>。</w:t>
      </w:r>
    </w:p>
    <w:p>
      <w:pPr>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仿宋_GB2312" w:cs="黑体"/>
          <w:sz w:val="32"/>
          <w:szCs w:val="22"/>
        </w:rPr>
      </w:pPr>
      <w:r>
        <w:rPr>
          <w:rFonts w:hint="eastAsia" w:ascii="Times New Roman" w:hAnsi="Times New Roman" w:eastAsia="仿宋_GB2312" w:cs="黑体"/>
          <w:sz w:val="32"/>
          <w:szCs w:val="32"/>
        </w:rPr>
        <w:t>授权书</w:t>
      </w:r>
      <w:r>
        <w:rPr>
          <w:rFonts w:ascii="Times New Roman" w:hAnsi="Times New Roman" w:eastAsia="仿宋_GB2312" w:cs="黑体"/>
          <w:sz w:val="32"/>
          <w:szCs w:val="32"/>
        </w:rPr>
        <w:t>须写明</w:t>
      </w:r>
      <w:r>
        <w:rPr>
          <w:rFonts w:hint="eastAsia" w:ascii="Times New Roman" w:hAnsi="Times New Roman" w:eastAsia="仿宋_GB2312" w:cs="黑体"/>
          <w:sz w:val="32"/>
          <w:szCs w:val="32"/>
        </w:rPr>
        <w:t>授权资质对应展区、</w:t>
      </w:r>
      <w:r>
        <w:rPr>
          <w:rFonts w:ascii="Times New Roman" w:hAnsi="Times New Roman" w:eastAsia="仿宋_GB2312" w:cs="黑体"/>
          <w:sz w:val="32"/>
          <w:szCs w:val="32"/>
        </w:rPr>
        <w:t>授权公司的海关编码、</w:t>
      </w:r>
      <w:r>
        <w:rPr>
          <w:rFonts w:hint="eastAsia" w:ascii="Times New Roman" w:hAnsi="Times New Roman" w:eastAsia="仿宋_GB2312" w:cs="黑体"/>
          <w:sz w:val="32"/>
          <w:szCs w:val="32"/>
        </w:rPr>
        <w:t>授权产品海关税号、</w:t>
      </w:r>
      <w:r>
        <w:rPr>
          <w:rFonts w:ascii="Times New Roman" w:hAnsi="Times New Roman" w:eastAsia="仿宋_GB2312" w:cs="黑体"/>
          <w:sz w:val="32"/>
          <w:szCs w:val="32"/>
        </w:rPr>
        <w:t>所授权的境内外商标、研发创新和自主知识产权范围。相应授权产品海关税号如涉及不同展区，须在同一份授权书上分别列明。</w:t>
      </w:r>
    </w:p>
    <w:p>
      <w:pPr>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黑体" w:cs="黑体"/>
          <w:sz w:val="32"/>
          <w:szCs w:val="22"/>
        </w:rPr>
      </w:pPr>
      <w:r>
        <w:rPr>
          <w:rFonts w:hint="eastAsia" w:ascii="Times New Roman" w:hAnsi="Times New Roman" w:eastAsia="黑体" w:cs="黑体"/>
          <w:sz w:val="32"/>
          <w:szCs w:val="22"/>
        </w:rPr>
        <w:t>三、审核及公示</w:t>
      </w:r>
    </w:p>
    <w:p>
      <w:pPr>
        <w:pageBreakBefore w:val="0"/>
        <w:widowControl w:val="0"/>
        <w:kinsoku/>
        <w:wordWrap/>
        <w:overflowPunct/>
        <w:topLinePunct w:val="0"/>
        <w:autoSpaceDE/>
        <w:autoSpaceDN/>
        <w:bidi w:val="0"/>
        <w:snapToGrid/>
        <w:spacing w:line="560" w:lineRule="exact"/>
        <w:ind w:firstLine="642" w:firstLineChars="200"/>
        <w:textAlignment w:val="auto"/>
        <w:rPr>
          <w:rFonts w:hint="eastAsia" w:ascii="Times New Roman" w:hAnsi="Times New Roman" w:eastAsia="仿宋_GB2312" w:cs="黑体"/>
          <w:sz w:val="32"/>
          <w:szCs w:val="22"/>
        </w:rPr>
      </w:pPr>
      <w:r>
        <w:rPr>
          <w:rFonts w:hint="eastAsia" w:ascii="Times New Roman" w:hAnsi="Times New Roman" w:eastAsia="楷体_GB2312" w:cs="黑体"/>
          <w:b/>
          <w:bCs/>
          <w:sz w:val="32"/>
          <w:szCs w:val="32"/>
        </w:rPr>
        <w:t>（一）</w:t>
      </w:r>
      <w:r>
        <w:rPr>
          <w:rFonts w:hint="eastAsia" w:ascii="Times New Roman" w:hAnsi="Times New Roman" w:eastAsia="仿宋_GB2312" w:cs="黑体"/>
          <w:sz w:val="32"/>
          <w:szCs w:val="22"/>
          <w:lang w:eastAsia="zh-CN"/>
        </w:rPr>
        <w:t>交易团</w:t>
      </w:r>
      <w:r>
        <w:rPr>
          <w:rFonts w:hint="eastAsia" w:ascii="Times New Roman" w:hAnsi="Times New Roman" w:eastAsia="仿宋_GB2312" w:cs="黑体"/>
          <w:color w:val="auto"/>
          <w:sz w:val="32"/>
          <w:szCs w:val="22"/>
          <w:lang w:eastAsia="zh-CN"/>
        </w:rPr>
        <w:t>（分团）</w:t>
      </w:r>
      <w:r>
        <w:rPr>
          <w:rFonts w:hint="eastAsia" w:ascii="Times New Roman" w:hAnsi="Times New Roman" w:eastAsia="仿宋_GB2312" w:cs="黑体"/>
          <w:color w:val="auto"/>
          <w:sz w:val="32"/>
          <w:szCs w:val="22"/>
        </w:rPr>
        <w:t>在提交品牌展位申请企业推荐名单前，应完成对母（子）公</w:t>
      </w:r>
      <w:r>
        <w:rPr>
          <w:rFonts w:hint="eastAsia" w:ascii="Times New Roman" w:hAnsi="Times New Roman" w:eastAsia="仿宋_GB2312" w:cs="黑体"/>
          <w:sz w:val="32"/>
          <w:szCs w:val="22"/>
        </w:rPr>
        <w:t>司关系及使用资质相关材料的初核。</w:t>
      </w:r>
    </w:p>
    <w:p>
      <w:pPr>
        <w:pageBreakBefore w:val="0"/>
        <w:widowControl w:val="0"/>
        <w:kinsoku/>
        <w:wordWrap/>
        <w:overflowPunct/>
        <w:topLinePunct w:val="0"/>
        <w:autoSpaceDE/>
        <w:autoSpaceDN/>
        <w:bidi w:val="0"/>
        <w:snapToGrid/>
        <w:spacing w:line="560" w:lineRule="exact"/>
        <w:ind w:left="0" w:leftChars="0" w:firstLine="642" w:firstLineChars="200"/>
        <w:textAlignment w:val="auto"/>
      </w:pPr>
      <w:r>
        <w:rPr>
          <w:rFonts w:hint="eastAsia" w:ascii="Times New Roman" w:hAnsi="Times New Roman" w:eastAsia="楷体_GB2312" w:cs="黑体"/>
          <w:b/>
          <w:bCs/>
          <w:sz w:val="32"/>
          <w:szCs w:val="32"/>
        </w:rPr>
        <w:t>（二）</w:t>
      </w:r>
      <w:r>
        <w:rPr>
          <w:rFonts w:hint="eastAsia" w:ascii="Times New Roman" w:hAnsi="Times New Roman" w:eastAsia="仿宋_GB2312" w:cs="黑体"/>
          <w:sz w:val="32"/>
          <w:szCs w:val="22"/>
        </w:rPr>
        <w:t>商（协）会在提交品牌展位评审结果前，应完成对母（子）公司关系及使用资质相关材料的复核，并对经复核认定可以使用母（子）公司资质参加评审的母、子公司名单及其所使用的资质进行公示。公示无异议后执行。</w:t>
      </w:r>
    </w:p>
    <w:sectPr>
      <w:footerReference r:id="rId3" w:type="default"/>
      <w:pgSz w:w="11906" w:h="16838"/>
      <w:pgMar w:top="1440" w:right="1800" w:bottom="1440" w:left="1800" w:header="851" w:footer="992" w:gutter="0"/>
      <w:pgNumType w:fmt="decimal" w:start="3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E79C7"/>
    <w:rsid w:val="02650193"/>
    <w:rsid w:val="02A93523"/>
    <w:rsid w:val="2A1E79C7"/>
    <w:rsid w:val="2FD39111"/>
    <w:rsid w:val="37704640"/>
    <w:rsid w:val="5E8A6CA5"/>
    <w:rsid w:val="65801B30"/>
    <w:rsid w:val="66FF3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1015</Words>
  <Characters>1021</Characters>
  <Lines>0</Lines>
  <Paragraphs>0</Paragraphs>
  <TotalTime>12</TotalTime>
  <ScaleCrop>false</ScaleCrop>
  <LinksUpToDate>false</LinksUpToDate>
  <CharactersWithSpaces>1022</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2025-10-11T23:50:00Z</dcterms:created>
  <dc:creator>枕</dc:creator>
  <cp:lastModifiedBy>uos</cp:lastModifiedBy>
  <dcterms:modified xsi:type="dcterms:W3CDTF">2025-12-11T23:21:25Z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D71DE2355AF645AA89F9D18442373F93_11</vt:lpwstr>
  </property>
  <property fmtid="{D5CDD505-2E9C-101B-9397-08002B2CF9AE}" pid="4" name="KSOTemplateDocerSaveRecord">
    <vt:lpwstr>eyJoZGlkIjoiNWU5ZGRiOWQyMWJhMzgxMzliZTM1MTVjYjljZjM2NGUiLCJ1c2VySWQiOiIzNjQwNTM4NTEifQ==</vt:lpwstr>
  </property>
</Properties>
</file>