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使用关联公司资质参评的相关要求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一、允许使用母（子）公司有关资质的情形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（一）母公司可使用全资子公司的出口额、境内外商标、国际通行认证、研发创新和自主知识产权等四类资质参评。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母公司可使用绝对控股子公司或相对控股子公司的出口额、境内外商标、研发创新和自主知识产权等三类资质参评，且需该子公司书面授权。授权方的各类资质在同一展区均只能授权给一家公司，不得重复或拆分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子公司可使用对其绝对控股的母公司或该母公司绝对控股的其他子公司的出口额、境内外商标、研发创新和自主知识产权等三类资质参评，且需该母公司或其他子公司书面授权。授权方的各类资质在同一展区均只能授权给一家公司，不得重复或拆分授权。被授权方在同一展区只能接受每类资质的一次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二、相关条件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属第一条所述范围的全资子公司或授权方，在使用其资质的相应展区不得再单独参加评审。其中，如全资子公司或授权方授权使用其资质的展区属于机械类、工程农机类、服装类、礼品装饰品类、日用品类等5大类，其在该展区对应大类的其他所有展区中，均不得再单独参加评审，也不得将其资质再次授权给其他公司。</w:t>
      </w:r>
    </w:p>
    <w:tbl>
      <w:tblPr>
        <w:tblStyle w:val="3"/>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32"/>
        <w:gridCol w:w="3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5332" w:type="dxa"/>
            <w:tcBorders>
              <w:top w:val="single" w:color="000000" w:sz="8" w:space="0"/>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Style w:val="5"/>
                <w:rFonts w:hint="eastAsia" w:ascii="宋体" w:hAnsi="宋体" w:eastAsia="宋体" w:cs="宋体"/>
                <w:color w:val="auto"/>
                <w:sz w:val="21"/>
                <w:szCs w:val="21"/>
              </w:rPr>
              <w:t>展区</w:t>
            </w:r>
          </w:p>
        </w:tc>
        <w:tc>
          <w:tcPr>
            <w:tcW w:w="3607" w:type="dxa"/>
            <w:tcBorders>
              <w:top w:val="single" w:color="000000" w:sz="8" w:space="0"/>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Style w:val="5"/>
                <w:rFonts w:hint="eastAsia" w:ascii="宋体" w:hAnsi="宋体" w:eastAsia="宋体" w:cs="宋体"/>
                <w:color w:val="auto"/>
                <w:sz w:val="21"/>
                <w:szCs w:val="21"/>
              </w:rPr>
              <w:t>对应产品大类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加工机械设备</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动力、电力设备</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通用机械及机械基础件</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工程机械（室内）</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工程农机类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工程机械（室外）</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农业机械（室内）</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农业机械（室外）</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家居装饰品</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礼品饰品类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节日用品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礼品及赠品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家居用品</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日用品类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个人护理用具</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浴室用品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男女装</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内衣</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运动服及休闲服</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童装</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服装饰物及配件</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（二）使用母（子）公司资质参评的，须在提交申报文件时同时提供以下材料：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1.母（子）公司关系证明文件。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属全资关系的，须提供母公司为子公司唯一股东的证明材料；属绝对控股关系的，须提供母公司出资额占子公司资本总额50%以上或者其持有的股份占子公司股本总额50%以上的证明文件；属相对控股关系的，须提供母公司为子公司第一大股东的证明文件。证明文件（如工商登记证等）须加盖所在地县级以上工商部门公章；属各地各级国资委管理的企业，可以国资委文件替代工商部门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2.具有法律效力的、经授权方法人代表签字并加盖公章的授权书。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授权书须写明授权资质对应展区、授权公司的海关编码、授权产品海关税号、所授权的境内外商标、研发创新和自主知识产权范围。相应授权产品海关税号如涉及不同展区，须在同一份授权书上分别列明。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区和经开区商务主管部门在提交初审通过的一般性展位申请企业汇总表前，完成对母（子）公司关系及使用资质相关材料的初核。交易团在开展一般性展位数量安排前，完成对母（子）公司关系及使用资质相关材料的复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D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2025-04-28T08:09:24Z</dcterms:created>
  <dc:creator>Administrator</dc:creator>
  <cp:lastModifiedBy>邱钰雯</cp:lastModifiedBy>
  <dcterms:modified xsi:type="dcterms:W3CDTF">2025-04-28T08:10:56Z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C21242259E624C428B0CB56757C93134</vt:lpwstr>
  </property>
</Properties>
</file>