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spacing w:before="0" w:beforeAutospacing="0" w:after="0" w:afterAutospacing="0" w:line="57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spacing w:before="0" w:beforeAutospacing="0" w:after="0" w:afterAutospacing="0" w:line="64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北京市成品油流通综合监管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指导意见起草说明</w:t>
      </w:r>
    </w:p>
    <w:p>
      <w:pPr>
        <w:pStyle w:val="5"/>
        <w:spacing w:before="0" w:beforeAutospacing="0" w:after="0" w:afterAutospacing="0" w:line="57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spacing w:before="0" w:beforeAutospacing="0" w:after="0" w:afterAutospacing="0" w:line="570" w:lineRule="exact"/>
        <w:ind w:firstLine="640"/>
        <w:jc w:val="both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国务院</w:t>
      </w:r>
      <w:r>
        <w:rPr>
          <w:rFonts w:hint="eastAsia" w:ascii="仿宋_GB2312" w:hAnsi="仿宋_GB2312" w:eastAsia="仿宋_GB2312" w:cs="仿宋_GB2312"/>
          <w:sz w:val="32"/>
          <w:szCs w:val="32"/>
        </w:rPr>
        <w:t>营商环境创新试点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改革中关于在成品油领域探索建立完善综合监管机制的任务，本市确定</w:t>
      </w:r>
      <w:r>
        <w:rPr>
          <w:rFonts w:hint="eastAsia" w:ascii="仿宋_GB2312" w:hAnsi="仿宋_GB2312" w:eastAsia="仿宋_GB2312" w:cs="仿宋_GB2312"/>
          <w:sz w:val="32"/>
          <w:szCs w:val="32"/>
        </w:rPr>
        <w:t>由市商务局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牵头</w:t>
      </w:r>
      <w:r>
        <w:rPr>
          <w:rFonts w:hint="eastAsia" w:ascii="仿宋_GB2312" w:hAnsi="仿宋_GB2312" w:eastAsia="仿宋_GB2312" w:cs="仿宋_GB2312"/>
          <w:sz w:val="32"/>
          <w:szCs w:val="32"/>
        </w:rPr>
        <w:t>本市成品油流通综合监管改革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《国务院关于开展营商环境创新试点工作的意见》（国发〔2021〕24号）和《北京市营商环境创新试点工作实施方案》（京政发</w:t>
      </w:r>
      <w:r>
        <w:rPr>
          <w:rFonts w:hint="eastAsia" w:ascii="仿宋_GB2312" w:eastAsia="仿宋_GB2312"/>
          <w:sz w:val="32"/>
          <w:szCs w:val="32"/>
        </w:rPr>
        <w:t>〔2022〕</w:t>
      </w:r>
      <w:r>
        <w:rPr>
          <w:rFonts w:hint="eastAsia" w:ascii="仿宋_GB2312" w:hAnsi="仿宋_GB2312" w:eastAsia="仿宋_GB2312" w:cs="仿宋_GB2312"/>
          <w:sz w:val="32"/>
          <w:szCs w:val="32"/>
        </w:rPr>
        <w:t>6号）要求，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研究建立成品油流通综合监管机制，拟制了北京市成品油流通综合监管指导意见。</w:t>
      </w:r>
    </w:p>
    <w:p>
      <w:pPr>
        <w:pStyle w:val="5"/>
        <w:spacing w:before="0" w:beforeAutospacing="0" w:after="0" w:afterAutospacing="0" w:line="570" w:lineRule="exact"/>
        <w:ind w:firstLine="640"/>
        <w:jc w:val="both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基本情况</w:t>
      </w:r>
    </w:p>
    <w:p>
      <w:pPr>
        <w:pStyle w:val="5"/>
        <w:spacing w:before="0" w:beforeAutospacing="0" w:after="0" w:afterAutospacing="0" w:line="570" w:lineRule="exact"/>
        <w:ind w:firstLine="640"/>
        <w:jc w:val="both"/>
        <w:outlineLvl w:val="0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在详细梳理本市成品油流通监管职责，分析目前成品油流通监管实际的基础上，着眼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进一步优化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本市</w:t>
      </w:r>
      <w:r>
        <w:rPr>
          <w:rFonts w:hint="eastAsia" w:ascii="仿宋_GB2312" w:hAnsi="仿宋_GB2312" w:eastAsia="仿宋_GB2312" w:cs="仿宋_GB2312"/>
          <w:sz w:val="32"/>
          <w:szCs w:val="32"/>
        </w:rPr>
        <w:t>成品油流通营商环境，提升成品油流通领域监管效能，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起草北京市成品油流通综合监管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指导意见（征求意见稿，以下简称“指导意见”）。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2月16日，将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北京市成品油流通综合监管指导意见（征求意见稿），通过安邮发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12个相关政府部门征求意见建议。截至24日，3个单位正式复函，9个单位共反馈了26条意见（发改2条、</w:t>
      </w:r>
      <w:bookmarkStart w:id="0" w:name="zhusong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公安2条、生态2条、住建3条、城管2条、交通1条、应急3条、市场3条、金融1条、税务4条、气象3条）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，采纳24条，已修改完，未采纳2条（市场监管局2条，与法定职责相冲突未采纳）。</w:t>
      </w:r>
    </w:p>
    <w:p>
      <w:pPr>
        <w:pStyle w:val="5"/>
        <w:spacing w:before="0" w:beforeAutospacing="0" w:after="0" w:afterAutospacing="0" w:line="570" w:lineRule="exact"/>
        <w:ind w:firstLine="640"/>
        <w:jc w:val="both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原则目标</w:t>
      </w:r>
    </w:p>
    <w:p>
      <w:pPr>
        <w:pStyle w:val="5"/>
        <w:spacing w:before="0" w:beforeAutospacing="0" w:after="0" w:afterAutospacing="0" w:line="570" w:lineRule="exact"/>
        <w:ind w:firstLine="640"/>
        <w:jc w:val="both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国家营商环境创新试点机遇，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紧盯</w:t>
      </w:r>
      <w:r>
        <w:rPr>
          <w:rFonts w:hint="eastAsia" w:ascii="仿宋_GB2312" w:hAnsi="仿宋_GB2312" w:eastAsia="仿宋_GB2312" w:cs="仿宋_GB2312"/>
          <w:sz w:val="32"/>
          <w:szCs w:val="32"/>
        </w:rPr>
        <w:t>首都城市功能战略定位和发展需求，立足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本市成品油流通监管实际，总结成品油流通监管经验，着眼成品油流通监管改革可实现，研究建立本市成品油流通综合监管机制，明确相关部门在成品油流通</w:t>
      </w:r>
      <w:r>
        <w:rPr>
          <w:rFonts w:hint="eastAsia" w:ascii="仿宋_GB2312" w:hAnsi="仿宋_GB2312" w:eastAsia="仿宋_GB2312" w:cs="仿宋_GB2312"/>
          <w:sz w:val="32"/>
          <w:szCs w:val="32"/>
        </w:rPr>
        <w:t>各环节监管职责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推动成品油流通监管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协同</w:t>
      </w:r>
      <w:r>
        <w:rPr>
          <w:rFonts w:hint="eastAsia" w:ascii="仿宋_GB2312" w:hAnsi="仿宋_GB2312" w:eastAsia="仿宋_GB2312" w:cs="仿宋_GB2312"/>
          <w:sz w:val="32"/>
          <w:szCs w:val="32"/>
        </w:rPr>
        <w:t>高效发展，提高成品油流通监管效能。</w:t>
      </w:r>
    </w:p>
    <w:p>
      <w:pPr>
        <w:pStyle w:val="5"/>
        <w:spacing w:before="0" w:beforeAutospacing="0" w:after="0" w:afterAutospacing="0" w:line="570" w:lineRule="exact"/>
        <w:ind w:firstLine="640"/>
        <w:jc w:val="both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参考依据</w:t>
      </w:r>
    </w:p>
    <w:p>
      <w:pPr>
        <w:pStyle w:val="5"/>
        <w:spacing w:before="0" w:beforeAutospacing="0" w:after="0" w:afterAutospacing="0" w:line="57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指导意见中相关部门及职责主要依据是政府部门法定职责，及</w:t>
      </w:r>
      <w:r>
        <w:rPr>
          <w:rFonts w:hint="eastAsia" w:ascii="仿宋_GB2312" w:hAnsi="仿宋_GB2312" w:eastAsia="仿宋_GB2312" w:cs="仿宋_GB2312"/>
          <w:sz w:val="32"/>
          <w:szCs w:val="32"/>
        </w:rPr>
        <w:t>《北京市营商环境创新试点工作实施方案》（京政发</w:t>
      </w:r>
      <w:r>
        <w:rPr>
          <w:rFonts w:hint="eastAsia" w:ascii="仿宋_GB2312" w:eastAsia="仿宋_GB2312"/>
          <w:sz w:val="32"/>
          <w:szCs w:val="32"/>
        </w:rPr>
        <w:t>〔2022〕</w:t>
      </w:r>
      <w:r>
        <w:rPr>
          <w:rFonts w:hint="eastAsia" w:ascii="仿宋_GB2312" w:hAnsi="仿宋_GB2312" w:eastAsia="仿宋_GB2312" w:cs="仿宋_GB2312"/>
          <w:sz w:val="32"/>
          <w:szCs w:val="32"/>
        </w:rPr>
        <w:t>6号）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《北京市人民政府办公厅关于本市加油（气）站管理职责分工有关事宜的通知》（京政办发〔2004〕47号）《关于印发北京市加油站审批管理程序规定的通知》（京政容发〔2010〕132号）（相关文件附后）。</w:t>
      </w:r>
    </w:p>
    <w:p>
      <w:pPr>
        <w:pStyle w:val="5"/>
        <w:spacing w:before="0" w:beforeAutospacing="0" w:after="0" w:afterAutospacing="0" w:line="570" w:lineRule="exact"/>
        <w:ind w:firstLine="640"/>
        <w:jc w:val="both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主要内容</w:t>
      </w:r>
    </w:p>
    <w:p>
      <w:pPr>
        <w:pStyle w:val="5"/>
        <w:spacing w:before="0" w:beforeAutospacing="0" w:after="0" w:afterAutospacing="0" w:line="570" w:lineRule="exact"/>
        <w:ind w:firstLine="640"/>
        <w:jc w:val="both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1.明确改革目标。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建立本市成品油流通综合监管机制，细化监管职责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规范监管行为，提升监管效能，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强化协同监管，突出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质量安全。</w:t>
      </w:r>
    </w:p>
    <w:p>
      <w:pPr>
        <w:pStyle w:val="5"/>
        <w:spacing w:before="0" w:beforeAutospacing="0" w:after="0" w:afterAutospacing="0" w:line="57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确定监管原则。本</w:t>
      </w:r>
      <w:r>
        <w:rPr>
          <w:rFonts w:hint="eastAsia" w:ascii="仿宋_GB2312" w:hAnsi="仿宋_GB2312" w:eastAsia="仿宋_GB2312" w:cs="仿宋_GB2312"/>
          <w:sz w:val="32"/>
          <w:szCs w:val="32"/>
        </w:rPr>
        <w:t>市成品油经营企业全覆盖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、无盲区</w:t>
      </w:r>
      <w:r>
        <w:rPr>
          <w:rFonts w:hint="eastAsia" w:ascii="仿宋_GB2312" w:hAnsi="仿宋_GB2312" w:eastAsia="仿宋_GB2312" w:cs="仿宋_GB2312"/>
          <w:sz w:val="32"/>
          <w:szCs w:val="32"/>
        </w:rPr>
        <w:t>监管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坚持“谁审批、谁监管”，同时避免“不发证、不监管”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监管真空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探索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创新科技监管、</w:t>
      </w:r>
      <w:r>
        <w:rPr>
          <w:rFonts w:hint="eastAsia" w:ascii="仿宋_GB2312" w:hAnsi="仿宋_GB2312" w:eastAsia="仿宋_GB2312" w:cs="仿宋_GB2312"/>
          <w:sz w:val="32"/>
          <w:szCs w:val="32"/>
        </w:rPr>
        <w:t>智慧监管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，统筹</w:t>
      </w:r>
      <w:r>
        <w:rPr>
          <w:rFonts w:hint="eastAsia" w:ascii="仿宋_GB2312" w:hAnsi="仿宋_GB2312" w:eastAsia="仿宋_GB2312" w:cs="仿宋_GB2312"/>
          <w:sz w:val="32"/>
          <w:szCs w:val="32"/>
        </w:rPr>
        <w:t>监管执法力量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，强化</w:t>
      </w:r>
      <w:r>
        <w:rPr>
          <w:rFonts w:hint="eastAsia" w:ascii="仿宋_GB2312" w:hAnsi="仿宋_GB2312" w:eastAsia="仿宋_GB2312" w:cs="仿宋_GB2312"/>
          <w:sz w:val="32"/>
          <w:szCs w:val="32"/>
        </w:rPr>
        <w:t>各相关部门协同监管。</w:t>
      </w:r>
    </w:p>
    <w:p>
      <w:pPr>
        <w:pStyle w:val="5"/>
        <w:spacing w:before="0" w:beforeAutospacing="0" w:after="0" w:afterAutospacing="0" w:line="57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3.厘清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管理职责。梳理法定职责和相关文件规定，结合工作实际，进一步明确各相关部门在成品油经营项目从立项、规划、建设、验收、经营直至拆除的管理职责。</w:t>
      </w:r>
    </w:p>
    <w:p>
      <w:pPr>
        <w:pStyle w:val="5"/>
        <w:spacing w:before="0" w:beforeAutospacing="0" w:after="0" w:afterAutospacing="0" w:line="57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4.主要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监管工作。明确各相关部门在成品油经营项目开工前、竣工验收后、日常经营和拆迁还建等各环节监管内容，完善各部门监管标准，健全监管工作通报制度，发挥行业协会作用。</w:t>
      </w:r>
    </w:p>
    <w:p>
      <w:pPr>
        <w:pStyle w:val="5"/>
        <w:spacing w:before="0" w:beforeAutospacing="0" w:after="0" w:afterAutospacing="0" w:line="57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5.监管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保障。强化各部门协调配合，一体化推进综合监管创新，压实监管责任，共享监管信息。推进依法创新，积极修订完善相关法规文件，创新制度规定。坚持稳步实施，统筹放与管结合，既优化营商环境，又保证安全稳定。</w:t>
      </w:r>
    </w:p>
    <w:p>
      <w:pPr>
        <w:pStyle w:val="5"/>
        <w:spacing w:before="0" w:beforeAutospacing="0" w:after="0" w:afterAutospacing="0" w:line="570" w:lineRule="exact"/>
        <w:ind w:firstLine="640"/>
        <w:jc w:val="both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预期效果</w:t>
      </w:r>
    </w:p>
    <w:p>
      <w:pPr>
        <w:pStyle w:val="5"/>
        <w:spacing w:before="0" w:beforeAutospacing="0" w:after="0" w:afterAutospacing="0" w:line="57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一是营商环境明显优化。建立成品油流通综合监管机制后，监管更加协同高效，大幅减少因监管对企业的打扰。</w:t>
      </w:r>
    </w:p>
    <w:p>
      <w:pPr>
        <w:pStyle w:val="5"/>
        <w:spacing w:before="0" w:beforeAutospacing="0" w:after="0" w:afterAutospacing="0" w:line="57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二是监管效率大幅提高。各部门监管信息共享，减少了重复监管，降低了监管工作量，扩大了监管覆盖面，将大幅提升监管效能。</w:t>
      </w:r>
    </w:p>
    <w:p>
      <w:pPr>
        <w:pStyle w:val="5"/>
        <w:spacing w:before="0" w:beforeAutospacing="0" w:after="0" w:afterAutospacing="0" w:line="57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三是安全监管协同高效。统筹执法力量，强化质量安全执法监督力度，互通质量安全监测和执法信息，将有效提升安全监管效益。</w:t>
      </w:r>
    </w:p>
    <w:p>
      <w:pPr>
        <w:pStyle w:val="5"/>
        <w:spacing w:before="0" w:beforeAutospacing="0" w:after="0" w:afterAutospacing="0" w:line="570" w:lineRule="exact"/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AndChars" w:linePitch="584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t>- 1 -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t>- 2 -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263C9"/>
    <w:rsid w:val="007D13A6"/>
    <w:rsid w:val="02380E15"/>
    <w:rsid w:val="05CD7693"/>
    <w:rsid w:val="081765FE"/>
    <w:rsid w:val="08F700CD"/>
    <w:rsid w:val="0A9B0776"/>
    <w:rsid w:val="0B69020A"/>
    <w:rsid w:val="0B747AAA"/>
    <w:rsid w:val="0C117194"/>
    <w:rsid w:val="0FED4C3B"/>
    <w:rsid w:val="0FF310F9"/>
    <w:rsid w:val="0FFEAD11"/>
    <w:rsid w:val="10F47B61"/>
    <w:rsid w:val="13BAF4C8"/>
    <w:rsid w:val="141A3443"/>
    <w:rsid w:val="1477507C"/>
    <w:rsid w:val="155E641B"/>
    <w:rsid w:val="19031D94"/>
    <w:rsid w:val="19375DC3"/>
    <w:rsid w:val="19A91F93"/>
    <w:rsid w:val="1B21400E"/>
    <w:rsid w:val="1C457CB7"/>
    <w:rsid w:val="1C7E55CF"/>
    <w:rsid w:val="1DD265B5"/>
    <w:rsid w:val="1DF6E590"/>
    <w:rsid w:val="1ECA352C"/>
    <w:rsid w:val="1EEB17D8"/>
    <w:rsid w:val="1FE17F9C"/>
    <w:rsid w:val="20323461"/>
    <w:rsid w:val="2102293D"/>
    <w:rsid w:val="22FB4872"/>
    <w:rsid w:val="25DC159A"/>
    <w:rsid w:val="26DF4FAF"/>
    <w:rsid w:val="26FE25B9"/>
    <w:rsid w:val="27FE249F"/>
    <w:rsid w:val="2AB82D31"/>
    <w:rsid w:val="2DBD7ADA"/>
    <w:rsid w:val="2FB71D35"/>
    <w:rsid w:val="308D52CE"/>
    <w:rsid w:val="31753644"/>
    <w:rsid w:val="327654B1"/>
    <w:rsid w:val="3331396D"/>
    <w:rsid w:val="33E83A5D"/>
    <w:rsid w:val="33FD7EB7"/>
    <w:rsid w:val="34ADC1D8"/>
    <w:rsid w:val="34ED20B9"/>
    <w:rsid w:val="354FCC3A"/>
    <w:rsid w:val="35BF2CA5"/>
    <w:rsid w:val="35E037F3"/>
    <w:rsid w:val="3B4648CF"/>
    <w:rsid w:val="3C1794B5"/>
    <w:rsid w:val="3E0E19B6"/>
    <w:rsid w:val="3E7F205D"/>
    <w:rsid w:val="3EC738C6"/>
    <w:rsid w:val="3ECF2699"/>
    <w:rsid w:val="3F70D366"/>
    <w:rsid w:val="3FD6E15B"/>
    <w:rsid w:val="40585D78"/>
    <w:rsid w:val="41963AB0"/>
    <w:rsid w:val="41A94511"/>
    <w:rsid w:val="42AE48A8"/>
    <w:rsid w:val="435FC62A"/>
    <w:rsid w:val="43A02759"/>
    <w:rsid w:val="446E05D4"/>
    <w:rsid w:val="48753CCB"/>
    <w:rsid w:val="489D0FE5"/>
    <w:rsid w:val="4BFF2742"/>
    <w:rsid w:val="4CEF2847"/>
    <w:rsid w:val="4E763D71"/>
    <w:rsid w:val="4FAC5D42"/>
    <w:rsid w:val="514A144F"/>
    <w:rsid w:val="52BE5550"/>
    <w:rsid w:val="571A3F2C"/>
    <w:rsid w:val="571A7074"/>
    <w:rsid w:val="57854E9A"/>
    <w:rsid w:val="57CF378A"/>
    <w:rsid w:val="57DF364B"/>
    <w:rsid w:val="58D54CC7"/>
    <w:rsid w:val="593E26C8"/>
    <w:rsid w:val="5DAF2607"/>
    <w:rsid w:val="5F9B631C"/>
    <w:rsid w:val="60C029EB"/>
    <w:rsid w:val="627E0125"/>
    <w:rsid w:val="62FA6C26"/>
    <w:rsid w:val="63DE6DE8"/>
    <w:rsid w:val="64A82077"/>
    <w:rsid w:val="665C0EAB"/>
    <w:rsid w:val="69EFE2D9"/>
    <w:rsid w:val="6B7F3EAA"/>
    <w:rsid w:val="6CEE7D9C"/>
    <w:rsid w:val="6D7745B1"/>
    <w:rsid w:val="6EEC0CDC"/>
    <w:rsid w:val="6F3F47DB"/>
    <w:rsid w:val="6F7DB0C0"/>
    <w:rsid w:val="6FD9FD68"/>
    <w:rsid w:val="6FFEBE51"/>
    <w:rsid w:val="6FFF5CC7"/>
    <w:rsid w:val="70E635D4"/>
    <w:rsid w:val="71F90994"/>
    <w:rsid w:val="72805FC8"/>
    <w:rsid w:val="74004046"/>
    <w:rsid w:val="75A15B01"/>
    <w:rsid w:val="75EF54FE"/>
    <w:rsid w:val="75F7E1DF"/>
    <w:rsid w:val="772FBBA0"/>
    <w:rsid w:val="77616DB4"/>
    <w:rsid w:val="77B717B7"/>
    <w:rsid w:val="77BB1E13"/>
    <w:rsid w:val="79671F61"/>
    <w:rsid w:val="79672614"/>
    <w:rsid w:val="79ED293A"/>
    <w:rsid w:val="7A68455E"/>
    <w:rsid w:val="7A9FF68E"/>
    <w:rsid w:val="7BCD5222"/>
    <w:rsid w:val="7BF366E3"/>
    <w:rsid w:val="7DB7827F"/>
    <w:rsid w:val="7E0F89E6"/>
    <w:rsid w:val="7E7B6C15"/>
    <w:rsid w:val="7F3F19F4"/>
    <w:rsid w:val="7FC7882E"/>
    <w:rsid w:val="7FCF9EF8"/>
    <w:rsid w:val="7FDFEF9C"/>
    <w:rsid w:val="7FFF33A7"/>
    <w:rsid w:val="8CFBA9AC"/>
    <w:rsid w:val="9BF98B17"/>
    <w:rsid w:val="9BFF63E3"/>
    <w:rsid w:val="A67F45F1"/>
    <w:rsid w:val="AFFFE429"/>
    <w:rsid w:val="BAF7780C"/>
    <w:rsid w:val="BBFE8C1B"/>
    <w:rsid w:val="BDEBB85D"/>
    <w:rsid w:val="BEBEF802"/>
    <w:rsid w:val="BEFD3047"/>
    <w:rsid w:val="BF45118A"/>
    <w:rsid w:val="BF7EED19"/>
    <w:rsid w:val="BFAF36B3"/>
    <w:rsid w:val="C49AF76B"/>
    <w:rsid w:val="CEF5C305"/>
    <w:rsid w:val="CFF3AD83"/>
    <w:rsid w:val="D09F0967"/>
    <w:rsid w:val="DB5F0234"/>
    <w:rsid w:val="DEF79EB8"/>
    <w:rsid w:val="EBBB4638"/>
    <w:rsid w:val="EC6FF9B5"/>
    <w:rsid w:val="ED672DD0"/>
    <w:rsid w:val="EDAAE54D"/>
    <w:rsid w:val="EECBDF7D"/>
    <w:rsid w:val="F21BEEC3"/>
    <w:rsid w:val="F3DF365F"/>
    <w:rsid w:val="F67CD506"/>
    <w:rsid w:val="F76FA0D6"/>
    <w:rsid w:val="F7F203D5"/>
    <w:rsid w:val="FBB10695"/>
    <w:rsid w:val="FBD7AF20"/>
    <w:rsid w:val="FBFA68B4"/>
    <w:rsid w:val="FBFBBF92"/>
    <w:rsid w:val="FEFB8B92"/>
    <w:rsid w:val="FF77A91B"/>
    <w:rsid w:val="FFA58151"/>
    <w:rsid w:val="FFBD76B0"/>
    <w:rsid w:val="FFBF8B24"/>
    <w:rsid w:val="FFD98616"/>
    <w:rsid w:val="FFDD1283"/>
    <w:rsid w:val="FFDDDEAD"/>
    <w:rsid w:val="FFDE8ADA"/>
    <w:rsid w:val="FFDFCF0D"/>
    <w:rsid w:val="FFFF88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page number"/>
    <w:basedOn w:val="7"/>
    <w:unhideWhenUsed/>
    <w:qFormat/>
    <w:uiPriority w:val="99"/>
  </w:style>
  <w:style w:type="character" w:styleId="9">
    <w:name w:val="FollowedHyperlink"/>
    <w:basedOn w:val="7"/>
    <w:unhideWhenUsed/>
    <w:qFormat/>
    <w:uiPriority w:val="99"/>
    <w:rPr>
      <w:color w:val="666666"/>
      <w:sz w:val="21"/>
      <w:szCs w:val="21"/>
      <w:u w:val="none"/>
    </w:rPr>
  </w:style>
  <w:style w:type="character" w:styleId="10">
    <w:name w:val="Hyperlink"/>
    <w:basedOn w:val="7"/>
    <w:unhideWhenUsed/>
    <w:qFormat/>
    <w:uiPriority w:val="99"/>
    <w:rPr>
      <w:color w:val="666666"/>
      <w:sz w:val="21"/>
      <w:szCs w:val="21"/>
      <w:u w:val="none"/>
    </w:rPr>
  </w:style>
  <w:style w:type="character" w:customStyle="1" w:styleId="11">
    <w:name w:val="tsfont1"/>
    <w:basedOn w:val="7"/>
    <w:qFormat/>
    <w:uiPriority w:val="0"/>
    <w:rPr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2017-10-29T01:55:00Z</dcterms:created>
  <dc:creator>lenovo</dc:creator>
  <cp:lastModifiedBy>uos</cp:lastModifiedBy>
  <cp:lastPrinted>2022-02-17T11:12:00Z</cp:lastPrinted>
  <dcterms:modified xsi:type="dcterms:W3CDTF">2022-10-20T15:04:08Z</dcterms:modified>
  <dc:title>关于国发〔2015〕62号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653CDE8F598F4388BED99891BAFD5E4F</vt:lpwstr>
  </property>
</Properties>
</file>