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line="60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olor w:val="2626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262600"/>
          <w:sz w:val="44"/>
          <w:szCs w:val="44"/>
          <w:lang w:val="en-US" w:eastAsia="zh-CN"/>
        </w:rPr>
        <w:t>公布2025年货物出口配额总量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olor w:val="262600"/>
          <w:sz w:val="32"/>
          <w:lang w:val="en-US" w:eastAsia="zh-CN"/>
        </w:rPr>
        <w:t xml:space="preserve">商务部公告2024年第47号 </w:t>
      </w:r>
    </w:p>
    <w:p>
      <w:pPr>
        <w:autoSpaceDN w:val="0"/>
        <w:spacing w:line="600" w:lineRule="atLeast"/>
        <w:ind w:firstLine="0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  <w:r>
        <w:rPr>
          <w:rFonts w:hint="eastAsia" w:ascii="仿宋_GB2312" w:hAnsi="仿宋_GB2312" w:eastAsia="仿宋_GB2312"/>
          <w:b w:val="0"/>
          <w:i w:val="0"/>
          <w:color w:val="262600"/>
          <w:sz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依据《中华人民共和国对外贸易法》《中华人民共和国货物进出口管理条例》《出口商品配额管理办法》《出口商品配额招标办法》等法律、行政法规和规章的规定，现公布</w:t>
      </w:r>
      <w:r>
        <w:rPr>
          <w:rFonts w:hint="default" w:ascii="Times New Roman" w:hAnsi="宋体"/>
          <w:b w:val="0"/>
          <w:i w:val="0"/>
          <w:color w:val="262600"/>
          <w:sz w:val="32"/>
        </w:rPr>
        <w:t>2025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年货物出口配额总量及配额管理有关事项如下：</w:t>
      </w:r>
    </w:p>
    <w:p>
      <w:pPr>
        <w:autoSpaceDN w:val="0"/>
        <w:spacing w:line="600" w:lineRule="atLeast"/>
        <w:ind w:firstLine="0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　　一、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2025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年，甘草及甘草制品、药料用人工种植麻黄草、活猪（对港澳）、活牛（对港澳）、活鸡（对香港）、锯材、蔺草及蔺草制品出口配额分别为</w:t>
      </w:r>
      <w:r>
        <w:rPr>
          <w:rFonts w:hint="default" w:ascii="Times New Roman" w:hAnsi="宋体"/>
          <w:b w:val="0"/>
          <w:i w:val="0"/>
          <w:color w:val="262600"/>
          <w:sz w:val="32"/>
        </w:rPr>
        <w:t>520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万千克、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108.3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万千克、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161.04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万头、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2.8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万头、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300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万只、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10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万立方米、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1700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万千克。</w:t>
      </w:r>
    </w:p>
    <w:p>
      <w:pPr>
        <w:autoSpaceDN w:val="0"/>
        <w:spacing w:line="600" w:lineRule="atLeast"/>
        <w:ind w:firstLine="0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　　二、出口上述货物的对外贸易经营者应向商务部申请取得配额（全球或者地区配额），凭配额证明文件或者配额招标中标证明文件申领《中华人民共和国出口许可证》（以下简称为出口许可证），凭出口许可证向海关办理货物出口报关验放手续。</w:t>
      </w:r>
    </w:p>
    <w:p>
      <w:pPr>
        <w:autoSpaceDN w:val="0"/>
        <w:spacing w:line="600" w:lineRule="atLeast"/>
        <w:ind w:firstLine="0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　　三、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2025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年出口配额（以招标方式分配的配额除外）申请时间自</w:t>
      </w:r>
      <w:r>
        <w:rPr>
          <w:rFonts w:hint="default" w:ascii="Times New Roman" w:hAnsi="宋体"/>
          <w:b w:val="0"/>
          <w:i w:val="0"/>
          <w:color w:val="262600"/>
          <w:sz w:val="32"/>
        </w:rPr>
        <w:t>2024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年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11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月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日起，至</w:t>
      </w:r>
      <w:r>
        <w:rPr>
          <w:rFonts w:hint="default" w:ascii="Times New Roman" w:hAnsi="宋体"/>
          <w:b w:val="0"/>
          <w:i w:val="0"/>
          <w:color w:val="262600"/>
          <w:sz w:val="32"/>
        </w:rPr>
        <w:t>2024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年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11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月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15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日止。申请人需将申请材料提交给所在地方的省级地方商务主管部门，由省级地方商务主管部门对申请材料进行核实并转报商务部。</w:t>
      </w:r>
    </w:p>
    <w:p>
      <w:pPr>
        <w:autoSpaceDN w:val="0"/>
        <w:spacing w:line="600" w:lineRule="atLeast"/>
        <w:ind w:firstLine="0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　　四、商务部依法对受理的申请进行审查，于</w:t>
      </w:r>
      <w:r>
        <w:rPr>
          <w:rFonts w:hint="default" w:ascii="Times New Roman" w:hAnsi="宋体"/>
          <w:b w:val="0"/>
          <w:i w:val="0"/>
          <w:color w:val="262600"/>
          <w:sz w:val="32"/>
        </w:rPr>
        <w:t>2024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年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12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月</w:t>
      </w:r>
      <w:r>
        <w:rPr>
          <w:rFonts w:hint="default" w:ascii="Times New Roman" w:hAnsi="宋体"/>
          <w:b w:val="0"/>
          <w:i w:val="0"/>
          <w:color w:val="262600"/>
          <w:sz w:val="32"/>
        </w:rPr>
        <w:t>15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日前将配额分配给符合条件的申请人。</w:t>
      </w:r>
    </w:p>
    <w:p>
      <w:pPr>
        <w:autoSpaceDN w:val="0"/>
        <w:spacing w:line="600" w:lineRule="atLeast"/>
        <w:ind w:firstLine="647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五、甘草及甘草制品、蔺草及蔺草制品出口配额通过招标的方式进行分配，有关申请的条件和程序等事项另予公布。</w:t>
      </w:r>
    </w:p>
    <w:p>
      <w:pPr>
        <w:autoSpaceDN w:val="0"/>
        <w:spacing w:line="600" w:lineRule="atLeast"/>
        <w:ind w:firstLine="647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六、</w:t>
      </w:r>
      <w:r>
        <w:rPr>
          <w:rFonts w:hint="default" w:ascii="Times New Roman" w:hAnsi="宋体"/>
          <w:b w:val="0"/>
          <w:i w:val="0"/>
          <w:color w:val="262600"/>
          <w:sz w:val="32"/>
        </w:rPr>
        <w:t>2025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年继续暂停磷矿石、白银出口配额管理，实行出口许可证管理。符合条件的出口磷矿石或白银的对外贸易经营者，可凭有效的货物出口合同申领出口许可证（加工贸易项下出口白银按规定办理），凭出口许可证向海关办理货物出口报关验放手续。</w:t>
      </w:r>
    </w:p>
    <w:p>
      <w:pPr>
        <w:autoSpaceDN w:val="0"/>
        <w:spacing w:line="600" w:lineRule="atLeast"/>
        <w:ind w:firstLine="0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　　七、本公告所称省级地方商务主管部门，是指各省、自治区、直辖市及计划单列市、新疆生产建设兵团商务主管部门。</w:t>
      </w:r>
    </w:p>
    <w:p>
      <w:pPr>
        <w:autoSpaceDN w:val="0"/>
        <w:spacing w:line="600" w:lineRule="atLeast"/>
        <w:ind w:firstLine="0"/>
        <w:jc w:val="both"/>
        <w:rPr>
          <w:rFonts w:hint="default" w:ascii="\5 FAE8F6F96C59ED1" w:hAnsi="宋体"/>
          <w:b w:val="0"/>
          <w:i w:val="0"/>
          <w:color w:val="262626"/>
          <w:sz w:val="27"/>
        </w:rPr>
      </w:pPr>
    </w:p>
    <w:p>
      <w:pPr>
        <w:autoSpaceDN w:val="0"/>
        <w:spacing w:line="600" w:lineRule="atLeast"/>
        <w:ind w:firstLine="0"/>
        <w:jc w:val="both"/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color w:val="262600"/>
          <w:sz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fldChar w:fldCharType="begin"/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instrText xml:space="preserve">HYPERLINK "http://www.mofcom.gov.cn/api-gateway/jpaas-web-server/front/document/download?fileUrl=YW5UzzlvCwcM/NHHX/tT6EHgAYL2sU0o0DwOSd3cLBl/BSu2kKZTbREGRBOttGF3H8FYJLuaWcbDlbqGT+sBNys+6nqve/1XWzQH9bsiy1yMH9iUUePz5I34tOpGoxBBOosJKfXC9yXo4xh0Tp3VxYrNhiMitJhLzG1yM2gFPQM=&amp;fileName=货物出口配额总量（2025年）.wps"</w:instrTex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fldChar w:fldCharType="separate"/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t>附件：货物出口配额总量（2025年）</w:t>
      </w:r>
      <w: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fldChar w:fldCharType="end"/>
      </w:r>
    </w:p>
    <w:p>
      <w:pPr>
        <w:autoSpaceDN w:val="0"/>
        <w:spacing w:line="600" w:lineRule="atLeast"/>
        <w:ind w:firstLine="0"/>
        <w:jc w:val="both"/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</w:pPr>
    </w:p>
    <w:p>
      <w:pPr>
        <w:rPr>
          <w:rFonts w:hint="default" w:ascii="仿宋_GB2312" w:hAnsi="仿宋_GB2312" w:eastAsia="仿宋_GB2312"/>
          <w:b w:val="0"/>
          <w:i w:val="0"/>
          <w:color w:val="262600"/>
          <w:sz w:val="32"/>
          <w:lang w:eastAsia="zh-CN"/>
        </w:rPr>
        <w:sectPr>
          <w:pgMar w:top="1440" w:right="1800" w:bottom="1440" w:left="1800" w:header="720" w:footer="720" w:gutter="0"/>
          <w:cols w:space="720" w:num="1"/>
        </w:sectPr>
      </w:pPr>
    </w:p>
    <w:p>
      <w:pPr>
        <w:widowControl w:val="0"/>
        <w:wordWrap/>
        <w:adjustRightInd/>
        <w:snapToGrid/>
        <w:spacing w:afterLines="100"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>
      <w:pPr>
        <w:widowControl w:val="0"/>
        <w:wordWrap/>
        <w:adjustRightInd/>
        <w:snapToGrid/>
        <w:spacing w:afterLines="10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货物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出口配额总量（2025年）</w:t>
      </w:r>
    </w:p>
    <w:tbl>
      <w:tblPr>
        <w:tblW w:w="8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628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货物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4"/>
                <w:szCs w:val="24"/>
                <w:lang w:eastAsia="zh-CN"/>
              </w:rPr>
              <w:t>配额总量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甘草及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甘草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制品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520万千克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药料用人工种植麻黄草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108.3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万千克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活猪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161.04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　　　　　　　　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活大猪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160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145万头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澳门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15万头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　　　　　　　　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活中猪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1.04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澳门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0.04万头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活牛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2.8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2.5万头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澳门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0.3万头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活鸡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万只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300万只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锯材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10万立方米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蔺草及蔺草制品</w:t>
            </w:r>
          </w:p>
        </w:tc>
        <w:tc>
          <w:tcPr>
            <w:tcW w:w="36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1700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千克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　　说明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：甘草及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甘草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制品、蔺草及蔺草制品出口配额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通过招标的方式分配。</w:t>
      </w:r>
    </w:p>
    <w:p>
      <w:pPr>
        <w:autoSpaceDN w:val="0"/>
        <w:spacing w:line="600" w:lineRule="atLeast"/>
        <w:ind w:firstLine="0"/>
        <w:jc w:val="both"/>
        <w:rPr>
          <w:rFonts w:hint="eastAsia" w:ascii="仿宋_GB2312" w:hAnsi="仿宋_GB2312" w:eastAsia="仿宋_GB2312"/>
          <w:b w:val="0"/>
          <w:i w:val="0"/>
          <w:color w:val="262600"/>
          <w:sz w:val="32"/>
          <w:lang w:eastAsia="zh-CN"/>
        </w:rPr>
      </w:pPr>
    </w:p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\5 FAE8F6F96C59ED1">
    <w:altName w:val="思源黑体 CN Norm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Normal">
    <w:panose1 w:val="020B0400000000000000"/>
    <w:charset w:val="01"/>
    <w:family w:val="auto"/>
    <w:pitch w:val="default"/>
    <w:sig w:usb0="20000003" w:usb1="2ADF3C10" w:usb2="00000016" w:usb3="00000000" w:csb0="60060107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uiPriority w:val="0"/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2024-11-04T04:09:35Z</dcterms:created>
  <cp:lastModifiedBy>杜雨潇</cp:lastModifiedBy>
  <dcterms:modified xsi:type="dcterms:W3CDTF">2024-11-04T04:17:22Z</dcterms:modified>
  <dc:title>公布2025年货物出口配额总量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