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附件1</w:t>
      </w:r>
    </w:p>
    <w:p>
      <w:pPr>
        <w:rPr>
          <w:rFonts w:ascii="楷体_GB2312" w:eastAsia="楷体_GB2312"/>
          <w:color w:val="auto"/>
        </w:rPr>
      </w:pPr>
    </w:p>
    <w:p>
      <w:pPr>
        <w:snapToGrid w:val="0"/>
        <w:spacing w:line="300" w:lineRule="auto"/>
        <w:jc w:val="center"/>
        <w:rPr>
          <w:rFonts w:hint="eastAsia" w:ascii="宋体" w:hAnsi="宋体" w:eastAsia="宋体" w:cs="宋体"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44"/>
          <w:szCs w:val="44"/>
        </w:rPr>
        <w:t>会议议程安排</w:t>
      </w:r>
    </w:p>
    <w:bookmarkEnd w:id="0"/>
    <w:tbl>
      <w:tblPr>
        <w:tblStyle w:val="4"/>
        <w:tblW w:w="0" w:type="auto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167"/>
        <w:gridCol w:w="2843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主讲题目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主讲人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00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-14: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eastAsia="zh-CN"/>
              </w:rPr>
              <w:t>《中华人民共和国两用物项出口管制条例》解读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商务部产业安全与进出口管制局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00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eastAsia="zh-CN"/>
              </w:rPr>
              <w:t>《两用物项出口管制内部合规指南》解读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商务部产业安全与进出口管制局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00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eastAsia="zh-CN"/>
              </w:rPr>
              <w:t>两用物项出口警示教育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商务部产业安全与进出口管制局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00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eastAsia="zh-CN"/>
              </w:rPr>
              <w:t>易制毒化学品进出口购买备案办理流程及要求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北京市公安局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eastAsia="zh-CN"/>
              </w:rPr>
              <w:t>监控化学品进出口审批办理流程及要求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经济和信息化局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00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eastAsia="zh-CN"/>
              </w:rPr>
              <w:t>两用物项和技术进出口许可证发放流程及注意事项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北京市商务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局</w:t>
            </w:r>
          </w:p>
        </w:tc>
      </w:tr>
    </w:tbl>
    <w:p>
      <w:pPr>
        <w:rPr>
          <w:rFonts w:ascii="楷体_GB2312" w:eastAsia="楷体_GB2312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2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2024-10-15T08:30:13Z</dcterms:created>
  <dc:creator>Administrator</dc:creator>
  <cp:lastModifiedBy>邱钰雯</cp:lastModifiedBy>
  <dcterms:modified xsi:type="dcterms:W3CDTF">2024-10-15T08:30:19Z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7E355D87A2FB4143B8296E6D9959C1BC</vt:lpwstr>
  </property>
</Properties>
</file>