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1BE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32"/>
          <w:szCs w:val="32"/>
        </w:rPr>
      </w:pPr>
    </w:p>
    <w:p w14:paraId="7D25C6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《关于进一步深化数据跨境流动便利化综合配套改革实施方案》政策解读</w:t>
      </w:r>
    </w:p>
    <w:p w14:paraId="085134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p>
    <w:p w14:paraId="6049E6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近日，市互联网信息办公室、市商务局、市政务和数据局联合印发了《关于进一步深化数据跨境流动便利化综合配套改革实施方案》（以下简称《数据跨境</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.0版方案》）。现就《数据跨境</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.0版方案》有关内容解读如下。</w:t>
      </w:r>
    </w:p>
    <w:p w14:paraId="0E15E86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eastAsia="zh-CN"/>
        </w:rPr>
        <w:t>总体思路</w:t>
      </w:r>
    </w:p>
    <w:p w14:paraId="0C32A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14:ligatures w14:val="standardContextual"/>
        </w:rPr>
      </w:pPr>
      <w:r>
        <w:rPr>
          <w:rFonts w:hint="eastAsia" w:ascii="仿宋_GB2312" w:hAnsi="仿宋_GB2312" w:eastAsia="仿宋_GB2312" w:cs="仿宋_GB2312"/>
          <w:kern w:val="2"/>
          <w:sz w:val="32"/>
          <w:szCs w:val="32"/>
          <w:lang w:val="en-US" w:eastAsia="zh-CN" w:bidi="ar-SA"/>
          <w14:ligatures w14:val="standardContextual"/>
        </w:rPr>
        <w:t>为深入贯彻党的二十届四中全会关于“推进数据高效便利安全跨境流动”的决策部署和市委市政府改革任务安排，在国家互联网信息办公室指导下，</w:t>
      </w:r>
      <w:r>
        <w:rPr>
          <w:rFonts w:hint="eastAsia" w:ascii="仿宋_GB2312" w:hAnsi="仿宋_GB2312" w:eastAsia="仿宋_GB2312" w:cs="仿宋_GB2312"/>
          <w:sz w:val="32"/>
          <w:szCs w:val="32"/>
        </w:rPr>
        <w:t>市互联网信息办公室</w:t>
      </w:r>
      <w:r>
        <w:rPr>
          <w:rFonts w:hint="eastAsia" w:ascii="仿宋_GB2312" w:hAnsi="仿宋_GB2312" w:eastAsia="仿宋_GB2312" w:cs="仿宋_GB2312"/>
          <w:kern w:val="2"/>
          <w:sz w:val="32"/>
          <w:szCs w:val="32"/>
          <w:lang w:val="en-US" w:eastAsia="zh-CN" w:bidi="ar-SA"/>
          <w14:ligatures w14:val="standardContextual"/>
        </w:rPr>
        <w:t>会同市商务局、市政务和数据局编制形成《数据跨境3.0版方案》。坚持“放得活，管得好”，强化首善标准、改革引领、企业视角、应用赋能、安全可控，在解决1.0阶段“合规”、2.0阶段“便利”问题的基础上，3.0阶段以“全面应用”为核心目标，以促进数据要素价值释放为牵引，以提升网络数据治理能力为保障，更加突出在企业服务上的应用，持续营造透明稳定可预期的制度环境；更加突出在产业赋能上的应用，助力科技创新和产业创新深度融合；更加突出在技术驱动上的应用，支撑数据跨主体、高频次、规模化跨境流通利用；更加突出在安全治理上的应用，防范新技术、新应用、新业态领域风险。</w:t>
      </w:r>
    </w:p>
    <w:p w14:paraId="1DEADC96">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eastAsia="zh-CN"/>
        </w:rPr>
        <w:t>主要政策创新</w:t>
      </w:r>
    </w:p>
    <w:p w14:paraId="1E0F6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此次出台的《数据跨境</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.0版方案》</w:t>
      </w:r>
      <w:r>
        <w:rPr>
          <w:rFonts w:hint="eastAsia" w:ascii="仿宋_GB2312" w:hAnsi="仿宋_GB2312" w:eastAsia="仿宋_GB2312" w:cs="仿宋_GB2312"/>
          <w:kern w:val="2"/>
          <w:sz w:val="32"/>
          <w:szCs w:val="32"/>
          <w:lang w:val="en-US" w:eastAsia="zh-CN" w:bidi="ar-SA"/>
          <w14:ligatures w14:val="standardContextual"/>
        </w:rPr>
        <w:t>重点提出27项创新政策举措，力争相较于2.0版在政策深度、覆盖广度、服务精度和技术赋能上实现新突破。</w:t>
      </w:r>
    </w:p>
    <w:p w14:paraId="747165D8">
      <w:pPr>
        <w:pStyle w:val="6"/>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Times New Roman" w:eastAsia="仿宋_GB2312"/>
          <w:b/>
          <w:sz w:val="32"/>
          <w:szCs w:val="32"/>
        </w:rPr>
        <w:t>一是在政策环境上，优化数据跨境流动政策应用，实现由“基本成型”向“好用管用”升级。</w:t>
      </w:r>
      <w:r>
        <w:rPr>
          <w:rFonts w:hint="eastAsia" w:ascii="仿宋_GB2312" w:hAnsi="仿宋_GB2312" w:eastAsia="仿宋_GB2312" w:cs="仿宋_GB2312"/>
          <w:sz w:val="32"/>
          <w:szCs w:val="32"/>
        </w:rPr>
        <w:t>紧扣企业实际需求，多措并举提升我市创新政策的企业到达率和获得感。全面推进负面清单推广应用，健全完善配套服务与管理机制，构建务实管用、灵活开放、高效便捷的清单应用体系。提升北京数据跨境服务中心能级，朝阳、海淀、大兴、亦庄等全市4个服务站点实施能力提升行动，在提供政策咨询指导、合规路径规划、解决方案设计等一站式共性服务的基础上，推动差异化发展、集成化服务、专业化支撑，打造特色鲜明、辐射有力的区域性服务能力，在全市形成优势互补、协同高效的数据跨境服务格局。持续实施“减时间、减材料、减费用”专项行动，深化“绿色通道”服务机制，畅通重要数据识别认定机制，深化个人信息出境认证制度运用，拓展数字领域国际交流合作。</w:t>
      </w:r>
    </w:p>
    <w:p w14:paraId="6132A2F2">
      <w:pPr>
        <w:pStyle w:val="6"/>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Times New Roman" w:eastAsia="仿宋_GB2312"/>
          <w:b/>
          <w:sz w:val="32"/>
          <w:szCs w:val="32"/>
        </w:rPr>
        <w:t>二是在行业应用上，打造重点行业数据跨境流通利用标杆，实现由“单点突破”向“全链协同”拓展</w:t>
      </w:r>
      <w:r>
        <w:rPr>
          <w:rFonts w:hint="eastAsia" w:ascii="仿宋_GB2312" w:hAnsi="仿宋_GB2312" w:eastAsia="仿宋_GB2312" w:cs="仿宋_GB2312"/>
          <w:sz w:val="32"/>
          <w:szCs w:val="32"/>
        </w:rPr>
        <w:t>。聚焦医疗健康、人工智能、智能网联汽车、贸易物流、科技金融、商业航天等6个重点领域，打造“一业一策”标杆示范，畅通数据获取、加工、传输、交易的全流程合规路径，推动数据跨境从支撑单一合规建设向赋能产业全链条协同拓展。以医疗健康领域为例，3.0版方案着力加强我市医疗机构高价值数据供给，鼓励运用《健康医疗数据匿名化技术规范</w:t>
      </w:r>
      <w:r>
        <w:rPr>
          <w:rFonts w:hint="eastAsia" w:ascii="仿宋_GB2312" w:hAnsi="仿宋_GB2312" w:eastAsia="仿宋_GB2312" w:cs="仿宋_GB2312"/>
          <w:sz w:val="32"/>
          <w:szCs w:val="32"/>
          <w:lang w:eastAsia="zh-CN"/>
        </w:rPr>
        <w:t>（试行）</w:t>
      </w:r>
      <w:r>
        <w:rPr>
          <w:rFonts w:hint="eastAsia" w:ascii="仿宋_GB2312" w:hAnsi="仿宋_GB2312" w:eastAsia="仿宋_GB2312" w:cs="仿宋_GB2312"/>
          <w:sz w:val="32"/>
          <w:szCs w:val="32"/>
        </w:rPr>
        <w:t>》开展医疗健康数据合规开发利用，加快制定医疗健康数据分类分级制度规范，促进医疗数据合规流通与创新应用。同时，试点创新药“走出去”服务模式，在我市自贸区探索建立“负面清单管</w:t>
      </w:r>
      <w:bookmarkStart w:id="0" w:name="_GoBack"/>
      <w:bookmarkEnd w:id="0"/>
      <w:r>
        <w:rPr>
          <w:rFonts w:hint="eastAsia" w:ascii="仿宋_GB2312" w:hAnsi="仿宋_GB2312" w:eastAsia="仿宋_GB2312" w:cs="仿宋_GB2312"/>
          <w:sz w:val="32"/>
          <w:szCs w:val="32"/>
        </w:rPr>
        <w:t>理+可控技术环境”数据出境技术路径，整合电子数据采集、临床试验管理等数字化平台，为国内创新药境外上市注册提供安全合规的通道保障。</w:t>
      </w:r>
    </w:p>
    <w:p w14:paraId="54D175B3">
      <w:pPr>
        <w:pStyle w:val="6"/>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Times New Roman" w:eastAsia="仿宋_GB2312"/>
          <w:b/>
          <w:sz w:val="32"/>
          <w:szCs w:val="32"/>
        </w:rPr>
        <w:t>三是在集成服务上，建设特色区域数据跨境流通利用创新服务高地，实现由“降本便利”向“增值赋能”深化。</w:t>
      </w:r>
      <w:r>
        <w:rPr>
          <w:rFonts w:hint="eastAsia" w:ascii="仿宋_GB2312" w:hAnsi="仿宋_GB2312" w:eastAsia="仿宋_GB2312" w:cs="仿宋_GB2312"/>
          <w:sz w:val="32"/>
          <w:szCs w:val="32"/>
        </w:rPr>
        <w:t>锚定为企服务向专业化、集成化升级，在国际医药创新公园、法商融合示范区、商务中心区、数字经济企业出海创新服务基地、国际数据枢纽港、综合保税区等6个特色区域，打造“一区一品”数据跨境特色服务品牌，为企业提供从合规咨询、方案设计、技术支撑到数据获取、规范处理、交易流通的全链条增值服务，形成数据跨境流通利用“一件事”集成服务能力，实现既“帮企业省成本”，又“帮企业拓市场”。</w:t>
      </w:r>
    </w:p>
    <w:p w14:paraId="196B70AA">
      <w:pPr>
        <w:pStyle w:val="6"/>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Times New Roman" w:eastAsia="仿宋_GB2312"/>
          <w:b/>
          <w:sz w:val="32"/>
          <w:szCs w:val="32"/>
        </w:rPr>
        <w:t>四是在技术支撑上，推广数据跨境可信流通应用技术，实现由“试点探索”向“全面应用”延伸。</w:t>
      </w:r>
      <w:r>
        <w:rPr>
          <w:rFonts w:hint="eastAsia" w:ascii="仿宋_GB2312" w:hAnsi="仿宋_GB2312" w:eastAsia="仿宋_GB2312" w:cs="仿宋_GB2312"/>
          <w:sz w:val="32"/>
          <w:szCs w:val="32"/>
        </w:rPr>
        <w:t>促进“政策靶向供给+可信技术驱动”双支撑规模化应用，布局跨境可信数据空间，发挥区块链、隐私计算等安全管理技术作用，支撑跨境数据规模化流通与价值共创。面向医疗健康、金融服务等高频跨境场景，建立匿名化效果评估机制。拓宽商用数据沙盒服务应用，构建“敏感数据入盒、合规数据产品出盒”技术服务闭环，实现敏感信息脱敏与数据利用价值释放。</w:t>
      </w:r>
    </w:p>
    <w:p w14:paraId="3BC6CBB6">
      <w:pPr>
        <w:pStyle w:val="6"/>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Times New Roman" w:eastAsia="仿宋_GB2312"/>
          <w:b/>
          <w:sz w:val="32"/>
          <w:szCs w:val="32"/>
        </w:rPr>
        <w:t>五是在生态构建上，繁荣数据跨境流通产业生态，实现由“规范市场”向“繁荣产业”演进。</w:t>
      </w:r>
      <w:r>
        <w:rPr>
          <w:rFonts w:hint="eastAsia" w:ascii="仿宋_GB2312" w:hAnsi="仿宋_GB2312" w:eastAsia="仿宋_GB2312" w:cs="仿宋_GB2312"/>
          <w:sz w:val="32"/>
          <w:szCs w:val="32"/>
        </w:rPr>
        <w:t>以“龙头企业+联盟服务”持续丰富数据要素市场服务供给，探索构建覆盖数据获取、跨境流通、交易结算全链条的特色服务模式，推动北京数据跨境合规服务产业联盟向数据服务产业协同发展枢纽升级，支持京津冀数字经济全产业链协同创新，培育壮大上下游衔接、境内外联动的数据跨境流通产业生态。</w:t>
      </w:r>
    </w:p>
    <w:p w14:paraId="220DFBD0">
      <w:pPr>
        <w:pStyle w:val="6"/>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Times New Roman" w:eastAsia="仿宋_GB2312"/>
          <w:b/>
          <w:sz w:val="32"/>
          <w:szCs w:val="32"/>
        </w:rPr>
        <w:t>六是在风险防控上，强化数据跨境流动安全监管效能，实现由“底线管控”向“高效精准”跃升。</w:t>
      </w:r>
      <w:r>
        <w:rPr>
          <w:rFonts w:hint="eastAsia" w:ascii="仿宋_GB2312" w:hAnsi="仿宋_GB2312" w:eastAsia="仿宋_GB2312" w:cs="仿宋_GB2312"/>
          <w:sz w:val="32"/>
          <w:szCs w:val="32"/>
        </w:rPr>
        <w:t>强化全方位风险防范，建立跨领域风险研判管理机制，推动数据出境全要素协同监管、全类型主体覆盖、全链条闭环管理。强化差异化精准监管，完善数据出境合规信用评价指标体系，深化“信用+风险”分类分级管理，形成“越合规、越便利、越发展”的良性循环。</w:t>
      </w:r>
    </w:p>
    <w:p w14:paraId="0335EBDB">
      <w:pPr>
        <w:pStyle w:val="6"/>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09C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7994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47994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AC011"/>
    <w:multiLevelType w:val="singleLevel"/>
    <w:tmpl w:val="E4AAC0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7DDF76"/>
    <w:rsid w:val="6DEFDBFB"/>
    <w:rsid w:val="7EC2A1BC"/>
    <w:rsid w:val="9F7DDF76"/>
    <w:rsid w:val="B5B7AAA3"/>
    <w:rsid w:val="DAEE416B"/>
    <w:rsid w:val="FBFB9E36"/>
    <w:rsid w:val="FF6A9E03"/>
    <w:rsid w:val="FFDF9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4"/>
      <w:szCs w:val="22"/>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tabs>
        <w:tab w:val="center" w:pos="4153"/>
        <w:tab w:val="right" w:pos="8306"/>
      </w:tabs>
      <w:snapToGrid w:val="0"/>
      <w:jc w:val="center"/>
    </w:pPr>
    <w:rPr>
      <w:sz w:val="18"/>
      <w:szCs w:val="18"/>
    </w:rPr>
  </w:style>
  <w:style w:type="paragraph" w:customStyle="1" w:styleId="6">
    <w:name w:val="正文缩进1"/>
    <w:qFormat/>
    <w:uiPriority w:val="0"/>
    <w:pPr>
      <w:widowControl w:val="0"/>
      <w:ind w:firstLine="200" w:firstLineChars="200"/>
      <w:jc w:val="both"/>
    </w:pPr>
    <w:rPr>
      <w:rFonts w:ascii="Calibri" w:hAnsi="Calibri" w:eastAsia="楷体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2026-04-15T03:27:00Z</dcterms:created>
  <dc:creator>水龙吟</dc:creator>
  <cp:lastModifiedBy>user</cp:lastModifiedBy>
  <cp:lastPrinted>2026-04-28T18:22:00Z</cp:lastPrinted>
  <dcterms:modified xsi:type="dcterms:W3CDTF">2026-04-29T11:58:36Z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CCCCDC2A15FB4BC6D9A2DD691437A835_43</vt:lpwstr>
  </property>
</Properties>
</file>