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线上或线下参与补贴实施的门店信息汇总表</w:t>
      </w:r>
    </w:p>
    <w:tbl>
      <w:tblPr>
        <w:tblStyle w:val="3"/>
        <w:tblW w:w="14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053"/>
        <w:gridCol w:w="2474"/>
        <w:gridCol w:w="1589"/>
        <w:gridCol w:w="1730"/>
        <w:gridCol w:w="1193"/>
        <w:gridCol w:w="4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销售企业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门店名称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统一社会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>经营模式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/>
              </w:rPr>
              <w:t>（线上/线下）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所属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区</w:t>
            </w:r>
          </w:p>
        </w:tc>
        <w:tc>
          <w:tcPr>
            <w:tcW w:w="4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8"/>
      <w:szCs w:val="1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ind w:firstLine="628" w:firstLineChars="200"/>
      <w:jc w:val="both"/>
    </w:pPr>
    <w:rPr>
      <w:rFonts w:ascii="宋体" w:hAnsi="宋体" w:eastAsia="仿宋_GB2312" w:cs="宋体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2025-06-05T09:37:16Z</dcterms:created>
  <dc:creator>Administrator</dc:creator>
  <cp:lastModifiedBy>邱钰雯</cp:lastModifiedBy>
  <dcterms:modified xsi:type="dcterms:W3CDTF">2025-06-05T09:37:33Z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8F2098682E7F450098156AF08C1648EB</vt:lpwstr>
  </property>
</Properties>
</file>