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2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080"/>
        <w:gridCol w:w="1815"/>
        <w:gridCol w:w="1984"/>
        <w:gridCol w:w="1704"/>
        <w:gridCol w:w="738"/>
        <w:gridCol w:w="802"/>
        <w:gridCol w:w="9"/>
        <w:gridCol w:w="2559"/>
        <w:gridCol w:w="2971"/>
      </w:tblGrid>
      <w:tr w:rsidR="00BD361B" w:rsidRPr="00BD361B" w14:paraId="3AC41688" w14:textId="77777777" w:rsidTr="00E847FB">
        <w:trPr>
          <w:trHeight w:val="454"/>
          <w:jc w:val="center"/>
        </w:trPr>
        <w:tc>
          <w:tcPr>
            <w:tcW w:w="5000" w:type="pct"/>
            <w:gridSpan w:val="10"/>
            <w:noWrap/>
            <w:vAlign w:val="bottom"/>
          </w:tcPr>
          <w:p w14:paraId="473797B7" w14:textId="3AA98352" w:rsidR="00BD361B" w:rsidRPr="00BD361B" w:rsidRDefault="00BD361B" w:rsidP="00E847FB">
            <w:pPr>
              <w:widowControl/>
              <w:jc w:val="center"/>
              <w:rPr>
                <w:rFonts w:ascii="方正小标宋简体" w:eastAsia="方正小标宋简体" w:hAnsi="方正小标宋简体" w:cs="宋体"/>
                <w:color w:val="000000"/>
                <w:kern w:val="0"/>
                <w:sz w:val="44"/>
                <w:szCs w:val="44"/>
                <w:highlight w:val="yellow"/>
              </w:rPr>
            </w:pPr>
            <w:r w:rsidRPr="00BD361B">
              <w:rPr>
                <w:rFonts w:ascii="方正小标宋简体" w:eastAsia="方正小标宋简体" w:hAnsi="方正小标宋简体" w:cs="宋体" w:hint="eastAsia"/>
                <w:color w:val="000000"/>
                <w:kern w:val="0"/>
                <w:sz w:val="44"/>
                <w:szCs w:val="44"/>
              </w:rPr>
              <w:t>202</w:t>
            </w:r>
            <w:r w:rsidRPr="00BD361B">
              <w:rPr>
                <w:rFonts w:ascii="方正小标宋简体" w:eastAsia="方正小标宋简体" w:hAnsi="方正小标宋简体" w:cs="宋体" w:hint="eastAsia"/>
                <w:color w:val="000000"/>
                <w:kern w:val="0"/>
                <w:sz w:val="44"/>
                <w:szCs w:val="44"/>
              </w:rPr>
              <w:t>3</w:t>
            </w:r>
            <w:r w:rsidRPr="00BD361B">
              <w:rPr>
                <w:rFonts w:ascii="方正小标宋简体" w:eastAsia="方正小标宋简体" w:hAnsi="方正小标宋简体" w:cs="宋体" w:hint="eastAsia"/>
                <w:color w:val="000000"/>
                <w:kern w:val="0"/>
                <w:sz w:val="44"/>
                <w:szCs w:val="44"/>
              </w:rPr>
              <w:t>年部门整体绩效评价指标体系评分表</w:t>
            </w:r>
          </w:p>
        </w:tc>
      </w:tr>
      <w:tr w:rsidR="00BD361B" w:rsidRPr="00BD361B" w14:paraId="34FEB001" w14:textId="77777777" w:rsidTr="00E847FB">
        <w:trPr>
          <w:trHeight w:val="454"/>
          <w:jc w:val="center"/>
        </w:trPr>
        <w:tc>
          <w:tcPr>
            <w:tcW w:w="5000" w:type="pct"/>
            <w:gridSpan w:val="10"/>
            <w:vAlign w:val="center"/>
          </w:tcPr>
          <w:p w14:paraId="0FA12B16"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一、当年预算执行情况（20分）</w:t>
            </w:r>
          </w:p>
        </w:tc>
      </w:tr>
      <w:tr w:rsidR="00304C4C" w:rsidRPr="00BD361B" w14:paraId="7DAD8D7D" w14:textId="77777777" w:rsidTr="00304C4C">
        <w:trPr>
          <w:trHeight w:val="454"/>
          <w:jc w:val="center"/>
        </w:trPr>
        <w:tc>
          <w:tcPr>
            <w:tcW w:w="318" w:type="pct"/>
            <w:vAlign w:val="center"/>
          </w:tcPr>
          <w:p w14:paraId="1D2E27D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一</w:t>
            </w:r>
            <w:r w:rsidRPr="00BD361B">
              <w:rPr>
                <w:rFonts w:ascii="宋体" w:hAnsi="宋体" w:cs="宋体"/>
                <w:color w:val="000000"/>
                <w:kern w:val="0"/>
                <w:sz w:val="20"/>
                <w:szCs w:val="20"/>
              </w:rPr>
              <w:t>级</w:t>
            </w:r>
          </w:p>
          <w:p w14:paraId="29B2D501" w14:textId="141FA5F3"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color w:val="000000"/>
                <w:kern w:val="0"/>
                <w:sz w:val="20"/>
                <w:szCs w:val="20"/>
              </w:rPr>
              <w:t>指标</w:t>
            </w:r>
            <w:r w:rsidRPr="00BD361B">
              <w:rPr>
                <w:rFonts w:ascii="宋体" w:hAnsi="宋体" w:cs="宋体" w:hint="eastAsia"/>
                <w:color w:val="000000"/>
                <w:kern w:val="0"/>
                <w:sz w:val="20"/>
                <w:szCs w:val="20"/>
              </w:rPr>
              <w:t xml:space="preserve">　</w:t>
            </w:r>
          </w:p>
        </w:tc>
        <w:tc>
          <w:tcPr>
            <w:tcW w:w="370" w:type="pct"/>
            <w:vAlign w:val="center"/>
          </w:tcPr>
          <w:p w14:paraId="4CA25B82"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二</w:t>
            </w:r>
            <w:r w:rsidRPr="00BD361B">
              <w:rPr>
                <w:rFonts w:ascii="宋体" w:hAnsi="宋体" w:cs="宋体"/>
                <w:color w:val="000000"/>
                <w:kern w:val="0"/>
                <w:sz w:val="20"/>
                <w:szCs w:val="20"/>
              </w:rPr>
              <w:t>级指标</w:t>
            </w:r>
            <w:r w:rsidRPr="00BD361B">
              <w:rPr>
                <w:rFonts w:ascii="宋体" w:hAnsi="宋体" w:cs="宋体" w:hint="eastAsia"/>
                <w:color w:val="000000"/>
                <w:kern w:val="0"/>
                <w:sz w:val="20"/>
                <w:szCs w:val="20"/>
              </w:rPr>
              <w:t xml:space="preserve">　</w:t>
            </w:r>
          </w:p>
        </w:tc>
        <w:tc>
          <w:tcPr>
            <w:tcW w:w="622" w:type="pct"/>
            <w:vAlign w:val="center"/>
          </w:tcPr>
          <w:p w14:paraId="0B9D636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预算数（万元）</w:t>
            </w:r>
          </w:p>
        </w:tc>
        <w:tc>
          <w:tcPr>
            <w:tcW w:w="680" w:type="pct"/>
            <w:vAlign w:val="center"/>
          </w:tcPr>
          <w:p w14:paraId="2FFAD303"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执行数（万元）</w:t>
            </w:r>
          </w:p>
        </w:tc>
        <w:tc>
          <w:tcPr>
            <w:tcW w:w="584" w:type="pct"/>
            <w:vAlign w:val="center"/>
          </w:tcPr>
          <w:p w14:paraId="447DF23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预算执行率</w:t>
            </w:r>
          </w:p>
        </w:tc>
        <w:tc>
          <w:tcPr>
            <w:tcW w:w="253" w:type="pct"/>
            <w:vAlign w:val="center"/>
          </w:tcPr>
          <w:p w14:paraId="2EC1A61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分值</w:t>
            </w:r>
          </w:p>
        </w:tc>
        <w:tc>
          <w:tcPr>
            <w:tcW w:w="275" w:type="pct"/>
            <w:vAlign w:val="center"/>
          </w:tcPr>
          <w:p w14:paraId="560E454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得分</w:t>
            </w:r>
          </w:p>
        </w:tc>
        <w:tc>
          <w:tcPr>
            <w:tcW w:w="880" w:type="pct"/>
            <w:gridSpan w:val="2"/>
            <w:vAlign w:val="center"/>
          </w:tcPr>
          <w:p w14:paraId="7C83BA9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指标解释</w:t>
            </w:r>
          </w:p>
        </w:tc>
        <w:tc>
          <w:tcPr>
            <w:tcW w:w="1018" w:type="pct"/>
            <w:vAlign w:val="center"/>
          </w:tcPr>
          <w:p w14:paraId="6499DC84"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评分标准</w:t>
            </w:r>
          </w:p>
        </w:tc>
      </w:tr>
      <w:tr w:rsidR="00304C4C" w:rsidRPr="00BD361B" w14:paraId="0B2ADBE0" w14:textId="77777777" w:rsidTr="00304C4C">
        <w:trPr>
          <w:trHeight w:val="1474"/>
          <w:jc w:val="center"/>
        </w:trPr>
        <w:tc>
          <w:tcPr>
            <w:tcW w:w="318" w:type="pct"/>
            <w:vMerge w:val="restart"/>
            <w:vAlign w:val="center"/>
          </w:tcPr>
          <w:p w14:paraId="0619F6F0"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当年预算执行情况（20）</w:t>
            </w:r>
          </w:p>
        </w:tc>
        <w:tc>
          <w:tcPr>
            <w:tcW w:w="370" w:type="pct"/>
            <w:vAlign w:val="center"/>
          </w:tcPr>
          <w:p w14:paraId="2D2318D9"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资金总体</w:t>
            </w:r>
          </w:p>
        </w:tc>
        <w:tc>
          <w:tcPr>
            <w:tcW w:w="622" w:type="pct"/>
            <w:vAlign w:val="center"/>
          </w:tcPr>
          <w:p w14:paraId="367D177F" w14:textId="2B76D892" w:rsidR="00BD361B" w:rsidRPr="00BD361B" w:rsidRDefault="00BD361B"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300,271.05</w:t>
            </w:r>
          </w:p>
        </w:tc>
        <w:tc>
          <w:tcPr>
            <w:tcW w:w="680" w:type="pct"/>
            <w:vAlign w:val="center"/>
          </w:tcPr>
          <w:p w14:paraId="77FB34BB" w14:textId="14B16147" w:rsidR="00BD361B" w:rsidRPr="00BD361B" w:rsidRDefault="00BD361B"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265,706.86</w:t>
            </w:r>
            <w:r w:rsidRPr="00BD361B">
              <w:rPr>
                <w:rFonts w:ascii="宋体" w:hAnsi="宋体" w:cs="宋体" w:hint="eastAsia"/>
                <w:color w:val="000000"/>
                <w:kern w:val="0"/>
                <w:sz w:val="20"/>
                <w:szCs w:val="20"/>
              </w:rPr>
              <w:t xml:space="preserve">　</w:t>
            </w:r>
          </w:p>
        </w:tc>
        <w:tc>
          <w:tcPr>
            <w:tcW w:w="584" w:type="pct"/>
            <w:vAlign w:val="center"/>
          </w:tcPr>
          <w:p w14:paraId="7B22E2B7" w14:textId="61B1B135" w:rsidR="00BD361B" w:rsidRPr="00BD361B" w:rsidRDefault="00BD361B"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88.49</w:t>
            </w:r>
            <w:r w:rsidRPr="00BD361B">
              <w:rPr>
                <w:rFonts w:ascii="宋体" w:hAnsi="宋体" w:cs="宋体" w:hint="eastAsia"/>
                <w:color w:val="000000"/>
                <w:kern w:val="0"/>
                <w:sz w:val="20"/>
                <w:szCs w:val="20"/>
              </w:rPr>
              <w:t>%</w:t>
            </w:r>
          </w:p>
        </w:tc>
        <w:tc>
          <w:tcPr>
            <w:tcW w:w="253" w:type="pct"/>
            <w:vMerge w:val="restart"/>
            <w:noWrap/>
            <w:vAlign w:val="center"/>
          </w:tcPr>
          <w:p w14:paraId="04607F32"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20</w:t>
            </w:r>
          </w:p>
        </w:tc>
        <w:tc>
          <w:tcPr>
            <w:tcW w:w="275" w:type="pct"/>
            <w:vMerge w:val="restart"/>
            <w:noWrap/>
            <w:vAlign w:val="center"/>
          </w:tcPr>
          <w:p w14:paraId="04FC4642" w14:textId="0BA6ADFC"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w:t>
            </w:r>
            <w:r>
              <w:rPr>
                <w:rFonts w:ascii="宋体" w:hAnsi="宋体" w:cs="宋体" w:hint="eastAsia"/>
                <w:color w:val="000000"/>
                <w:kern w:val="0"/>
                <w:sz w:val="20"/>
                <w:szCs w:val="20"/>
              </w:rPr>
              <w:t>7.7</w:t>
            </w:r>
          </w:p>
        </w:tc>
        <w:tc>
          <w:tcPr>
            <w:tcW w:w="880" w:type="pct"/>
            <w:gridSpan w:val="2"/>
            <w:vMerge w:val="restart"/>
            <w:vAlign w:val="center"/>
          </w:tcPr>
          <w:p w14:paraId="5D200214"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部门全年执行数与全年预算数的比率。资金总体=基本支出+项目支出+其他</w:t>
            </w:r>
          </w:p>
        </w:tc>
        <w:tc>
          <w:tcPr>
            <w:tcW w:w="1018" w:type="pct"/>
            <w:vMerge w:val="restart"/>
            <w:vAlign w:val="center"/>
          </w:tcPr>
          <w:p w14:paraId="78ABE773" w14:textId="77777777" w:rsidR="00BD361B" w:rsidRDefault="00BD361B" w:rsidP="00BD361B">
            <w:pPr>
              <w:widowControl/>
              <w:textAlignment w:val="center"/>
              <w:rPr>
                <w:rStyle w:val="font11"/>
                <w:rFonts w:hint="default"/>
                <w:lang w:bidi="ar"/>
              </w:rPr>
            </w:pPr>
            <w:r>
              <w:rPr>
                <w:rStyle w:val="font11"/>
                <w:rFonts w:hint="default"/>
                <w:lang w:bidi="ar"/>
              </w:rPr>
              <w:t>①得分一档最高不能超过该指标分值上限（20分）。</w:t>
            </w:r>
          </w:p>
          <w:p w14:paraId="2FFCAAA2" w14:textId="75DB2E9F" w:rsidR="00BD361B" w:rsidRPr="00BD361B" w:rsidRDefault="00BD361B" w:rsidP="00BD361B">
            <w:pPr>
              <w:widowControl/>
              <w:jc w:val="left"/>
              <w:rPr>
                <w:rFonts w:ascii="宋体" w:hAnsi="宋体" w:cs="宋体"/>
                <w:color w:val="000000"/>
                <w:kern w:val="0"/>
                <w:sz w:val="20"/>
                <w:szCs w:val="20"/>
              </w:rPr>
            </w:pPr>
            <w:r>
              <w:rPr>
                <w:rStyle w:val="font11"/>
                <w:rFonts w:hint="default"/>
                <w:lang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304C4C" w:rsidRPr="00BD361B" w14:paraId="612CCC72" w14:textId="77777777" w:rsidTr="00304C4C">
        <w:trPr>
          <w:trHeight w:val="1474"/>
          <w:jc w:val="center"/>
        </w:trPr>
        <w:tc>
          <w:tcPr>
            <w:tcW w:w="318" w:type="pct"/>
            <w:vMerge/>
            <w:vAlign w:val="center"/>
          </w:tcPr>
          <w:p w14:paraId="0641DDBF"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27E492C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基本支出</w:t>
            </w:r>
          </w:p>
        </w:tc>
        <w:tc>
          <w:tcPr>
            <w:tcW w:w="622" w:type="pct"/>
            <w:vAlign w:val="center"/>
          </w:tcPr>
          <w:p w14:paraId="06E06E9C" w14:textId="66B88F0B" w:rsidR="00BD361B" w:rsidRPr="00BD361B" w:rsidRDefault="00BD361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30,326.92</w:t>
            </w:r>
          </w:p>
        </w:tc>
        <w:tc>
          <w:tcPr>
            <w:tcW w:w="680" w:type="pct"/>
            <w:vAlign w:val="center"/>
          </w:tcPr>
          <w:p w14:paraId="6B00099F" w14:textId="6C1D05FA" w:rsidR="00BD361B" w:rsidRPr="00BD361B" w:rsidRDefault="00BD361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29,772.26</w:t>
            </w:r>
          </w:p>
        </w:tc>
        <w:tc>
          <w:tcPr>
            <w:tcW w:w="584" w:type="pct"/>
            <w:vMerge w:val="restart"/>
            <w:vAlign w:val="center"/>
          </w:tcPr>
          <w:p w14:paraId="7B7E066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w:t>
            </w:r>
          </w:p>
        </w:tc>
        <w:tc>
          <w:tcPr>
            <w:tcW w:w="253" w:type="pct"/>
            <w:vMerge/>
            <w:vAlign w:val="center"/>
          </w:tcPr>
          <w:p w14:paraId="2CC7AD8D" w14:textId="77777777" w:rsidR="00BD361B" w:rsidRPr="00BD361B" w:rsidRDefault="00BD361B" w:rsidP="00E847FB">
            <w:pPr>
              <w:widowControl/>
              <w:jc w:val="left"/>
              <w:rPr>
                <w:rFonts w:ascii="宋体" w:hAnsi="宋体" w:cs="宋体"/>
                <w:color w:val="000000"/>
                <w:kern w:val="0"/>
                <w:sz w:val="20"/>
                <w:szCs w:val="20"/>
              </w:rPr>
            </w:pPr>
          </w:p>
        </w:tc>
        <w:tc>
          <w:tcPr>
            <w:tcW w:w="275" w:type="pct"/>
            <w:vMerge/>
            <w:vAlign w:val="center"/>
          </w:tcPr>
          <w:p w14:paraId="0359CCDF" w14:textId="77777777" w:rsidR="00BD361B" w:rsidRPr="00BD361B" w:rsidRDefault="00BD361B" w:rsidP="00E847FB">
            <w:pPr>
              <w:widowControl/>
              <w:jc w:val="left"/>
              <w:rPr>
                <w:rFonts w:ascii="宋体" w:hAnsi="宋体" w:cs="宋体"/>
                <w:color w:val="000000"/>
                <w:kern w:val="0"/>
                <w:sz w:val="20"/>
                <w:szCs w:val="20"/>
              </w:rPr>
            </w:pPr>
          </w:p>
        </w:tc>
        <w:tc>
          <w:tcPr>
            <w:tcW w:w="880" w:type="pct"/>
            <w:gridSpan w:val="2"/>
            <w:vMerge/>
            <w:vAlign w:val="center"/>
          </w:tcPr>
          <w:p w14:paraId="271547E7"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767427EE"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4F3047F6" w14:textId="77777777" w:rsidTr="00304C4C">
        <w:trPr>
          <w:trHeight w:val="1474"/>
          <w:jc w:val="center"/>
        </w:trPr>
        <w:tc>
          <w:tcPr>
            <w:tcW w:w="318" w:type="pct"/>
            <w:vMerge/>
            <w:vAlign w:val="center"/>
          </w:tcPr>
          <w:p w14:paraId="0EAC1C57"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7BC7F0C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项目支出</w:t>
            </w:r>
          </w:p>
        </w:tc>
        <w:tc>
          <w:tcPr>
            <w:tcW w:w="622" w:type="pct"/>
            <w:vAlign w:val="center"/>
          </w:tcPr>
          <w:p w14:paraId="406DAEFB" w14:textId="1CA5C399" w:rsidR="00BD361B" w:rsidRPr="00BD361B" w:rsidRDefault="00BD361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269,944.13</w:t>
            </w:r>
          </w:p>
        </w:tc>
        <w:tc>
          <w:tcPr>
            <w:tcW w:w="680" w:type="pct"/>
            <w:vAlign w:val="center"/>
          </w:tcPr>
          <w:p w14:paraId="4ADEAA2D" w14:textId="77CB4B98" w:rsidR="00BD361B" w:rsidRPr="00BD361B" w:rsidRDefault="00BD361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235,934.61</w:t>
            </w:r>
          </w:p>
        </w:tc>
        <w:tc>
          <w:tcPr>
            <w:tcW w:w="584" w:type="pct"/>
            <w:vMerge/>
            <w:vAlign w:val="center"/>
          </w:tcPr>
          <w:p w14:paraId="5B3355C4" w14:textId="77777777" w:rsidR="00BD361B" w:rsidRPr="00BD361B" w:rsidRDefault="00BD361B" w:rsidP="00E847FB">
            <w:pPr>
              <w:widowControl/>
              <w:jc w:val="left"/>
              <w:rPr>
                <w:rFonts w:ascii="宋体" w:hAnsi="宋体" w:cs="宋体"/>
                <w:color w:val="000000"/>
                <w:kern w:val="0"/>
                <w:sz w:val="20"/>
                <w:szCs w:val="20"/>
              </w:rPr>
            </w:pPr>
          </w:p>
        </w:tc>
        <w:tc>
          <w:tcPr>
            <w:tcW w:w="253" w:type="pct"/>
            <w:vMerge/>
            <w:vAlign w:val="center"/>
          </w:tcPr>
          <w:p w14:paraId="5B6E1CBD" w14:textId="77777777" w:rsidR="00BD361B" w:rsidRPr="00BD361B" w:rsidRDefault="00BD361B" w:rsidP="00E847FB">
            <w:pPr>
              <w:widowControl/>
              <w:jc w:val="left"/>
              <w:rPr>
                <w:rFonts w:ascii="宋体" w:hAnsi="宋体" w:cs="宋体"/>
                <w:color w:val="000000"/>
                <w:kern w:val="0"/>
                <w:sz w:val="20"/>
                <w:szCs w:val="20"/>
              </w:rPr>
            </w:pPr>
          </w:p>
        </w:tc>
        <w:tc>
          <w:tcPr>
            <w:tcW w:w="275" w:type="pct"/>
            <w:vMerge/>
            <w:vAlign w:val="center"/>
          </w:tcPr>
          <w:p w14:paraId="2A516504" w14:textId="77777777" w:rsidR="00BD361B" w:rsidRPr="00BD361B" w:rsidRDefault="00BD361B" w:rsidP="00E847FB">
            <w:pPr>
              <w:widowControl/>
              <w:jc w:val="left"/>
              <w:rPr>
                <w:rFonts w:ascii="宋体" w:hAnsi="宋体" w:cs="宋体"/>
                <w:color w:val="000000"/>
                <w:kern w:val="0"/>
                <w:sz w:val="20"/>
                <w:szCs w:val="20"/>
              </w:rPr>
            </w:pPr>
          </w:p>
        </w:tc>
        <w:tc>
          <w:tcPr>
            <w:tcW w:w="880" w:type="pct"/>
            <w:gridSpan w:val="2"/>
            <w:vMerge/>
            <w:vAlign w:val="center"/>
          </w:tcPr>
          <w:p w14:paraId="0F9D0294"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15789D1E"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3A7A2E3E" w14:textId="77777777" w:rsidTr="00304C4C">
        <w:trPr>
          <w:trHeight w:val="1474"/>
          <w:jc w:val="center"/>
        </w:trPr>
        <w:tc>
          <w:tcPr>
            <w:tcW w:w="318" w:type="pct"/>
            <w:vMerge/>
            <w:vAlign w:val="center"/>
          </w:tcPr>
          <w:p w14:paraId="0A458DD3"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295E88E2"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其他</w:t>
            </w:r>
          </w:p>
        </w:tc>
        <w:tc>
          <w:tcPr>
            <w:tcW w:w="622" w:type="pct"/>
            <w:vAlign w:val="center"/>
          </w:tcPr>
          <w:p w14:paraId="2AB6068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 xml:space="preserve">　——</w:t>
            </w:r>
          </w:p>
        </w:tc>
        <w:tc>
          <w:tcPr>
            <w:tcW w:w="680" w:type="pct"/>
            <w:vAlign w:val="center"/>
          </w:tcPr>
          <w:p w14:paraId="2425BE1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 xml:space="preserve">——　</w:t>
            </w:r>
          </w:p>
        </w:tc>
        <w:tc>
          <w:tcPr>
            <w:tcW w:w="584" w:type="pct"/>
            <w:vMerge/>
            <w:vAlign w:val="center"/>
          </w:tcPr>
          <w:p w14:paraId="56F95529" w14:textId="77777777" w:rsidR="00BD361B" w:rsidRPr="00BD361B" w:rsidRDefault="00BD361B" w:rsidP="00E847FB">
            <w:pPr>
              <w:widowControl/>
              <w:jc w:val="left"/>
              <w:rPr>
                <w:rFonts w:ascii="宋体" w:hAnsi="宋体" w:cs="宋体"/>
                <w:color w:val="000000"/>
                <w:kern w:val="0"/>
                <w:sz w:val="20"/>
                <w:szCs w:val="20"/>
              </w:rPr>
            </w:pPr>
          </w:p>
        </w:tc>
        <w:tc>
          <w:tcPr>
            <w:tcW w:w="253" w:type="pct"/>
            <w:vMerge/>
            <w:vAlign w:val="center"/>
          </w:tcPr>
          <w:p w14:paraId="3644EE92" w14:textId="77777777" w:rsidR="00BD361B" w:rsidRPr="00BD361B" w:rsidRDefault="00BD361B" w:rsidP="00E847FB">
            <w:pPr>
              <w:widowControl/>
              <w:jc w:val="left"/>
              <w:rPr>
                <w:rFonts w:ascii="宋体" w:hAnsi="宋体" w:cs="宋体"/>
                <w:color w:val="000000"/>
                <w:kern w:val="0"/>
                <w:sz w:val="20"/>
                <w:szCs w:val="20"/>
              </w:rPr>
            </w:pPr>
          </w:p>
        </w:tc>
        <w:tc>
          <w:tcPr>
            <w:tcW w:w="275" w:type="pct"/>
            <w:vMerge/>
            <w:vAlign w:val="center"/>
          </w:tcPr>
          <w:p w14:paraId="0D81275E" w14:textId="77777777" w:rsidR="00BD361B" w:rsidRPr="00BD361B" w:rsidRDefault="00BD361B" w:rsidP="00E847FB">
            <w:pPr>
              <w:widowControl/>
              <w:jc w:val="left"/>
              <w:rPr>
                <w:rFonts w:ascii="宋体" w:hAnsi="宋体" w:cs="宋体"/>
                <w:color w:val="000000"/>
                <w:kern w:val="0"/>
                <w:sz w:val="20"/>
                <w:szCs w:val="20"/>
              </w:rPr>
            </w:pPr>
          </w:p>
        </w:tc>
        <w:tc>
          <w:tcPr>
            <w:tcW w:w="880" w:type="pct"/>
            <w:gridSpan w:val="2"/>
            <w:vMerge/>
            <w:vAlign w:val="center"/>
          </w:tcPr>
          <w:p w14:paraId="2ECFE9D6"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794A826B" w14:textId="77777777" w:rsidR="00BD361B" w:rsidRPr="00BD361B" w:rsidRDefault="00BD361B" w:rsidP="00E847FB">
            <w:pPr>
              <w:widowControl/>
              <w:jc w:val="left"/>
              <w:rPr>
                <w:rFonts w:ascii="宋体" w:hAnsi="宋体" w:cs="宋体"/>
                <w:color w:val="000000"/>
                <w:kern w:val="0"/>
                <w:sz w:val="20"/>
                <w:szCs w:val="20"/>
              </w:rPr>
            </w:pPr>
          </w:p>
        </w:tc>
      </w:tr>
      <w:tr w:rsidR="00BD361B" w:rsidRPr="00BD361B" w14:paraId="2D11200F" w14:textId="77777777" w:rsidTr="00E847FB">
        <w:trPr>
          <w:trHeight w:val="454"/>
          <w:jc w:val="center"/>
        </w:trPr>
        <w:tc>
          <w:tcPr>
            <w:tcW w:w="5000" w:type="pct"/>
            <w:gridSpan w:val="10"/>
            <w:vAlign w:val="center"/>
          </w:tcPr>
          <w:p w14:paraId="7C4CE599"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lastRenderedPageBreak/>
              <w:t>二</w:t>
            </w:r>
            <w:r w:rsidRPr="00BD361B">
              <w:rPr>
                <w:rFonts w:ascii="宋体" w:hAnsi="宋体" w:cs="宋体"/>
                <w:color w:val="000000"/>
                <w:kern w:val="0"/>
                <w:sz w:val="20"/>
                <w:szCs w:val="20"/>
              </w:rPr>
              <w:t>、</w:t>
            </w:r>
            <w:r w:rsidRPr="00BD361B">
              <w:rPr>
                <w:rFonts w:ascii="宋体" w:hAnsi="宋体" w:cs="宋体" w:hint="eastAsia"/>
                <w:color w:val="000000"/>
                <w:kern w:val="0"/>
                <w:sz w:val="20"/>
                <w:szCs w:val="20"/>
              </w:rPr>
              <w:t>整体绩效目标实现情况（60分）</w:t>
            </w:r>
          </w:p>
        </w:tc>
      </w:tr>
      <w:tr w:rsidR="00304C4C" w:rsidRPr="00BD361B" w14:paraId="303B3FCA" w14:textId="77777777" w:rsidTr="00304C4C">
        <w:trPr>
          <w:trHeight w:val="454"/>
          <w:jc w:val="center"/>
        </w:trPr>
        <w:tc>
          <w:tcPr>
            <w:tcW w:w="318" w:type="pct"/>
            <w:vAlign w:val="center"/>
          </w:tcPr>
          <w:p w14:paraId="0507B47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一</w:t>
            </w:r>
            <w:r w:rsidRPr="00BD361B">
              <w:rPr>
                <w:rFonts w:ascii="宋体" w:hAnsi="宋体" w:cs="宋体"/>
                <w:color w:val="000000"/>
                <w:kern w:val="0"/>
                <w:sz w:val="20"/>
                <w:szCs w:val="20"/>
              </w:rPr>
              <w:t>级指标</w:t>
            </w:r>
          </w:p>
        </w:tc>
        <w:tc>
          <w:tcPr>
            <w:tcW w:w="370" w:type="pct"/>
            <w:vAlign w:val="center"/>
          </w:tcPr>
          <w:p w14:paraId="13A425D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二</w:t>
            </w:r>
            <w:r w:rsidRPr="00BD361B">
              <w:rPr>
                <w:rFonts w:ascii="宋体" w:hAnsi="宋体" w:cs="宋体"/>
                <w:color w:val="000000"/>
                <w:kern w:val="0"/>
                <w:sz w:val="20"/>
                <w:szCs w:val="20"/>
              </w:rPr>
              <w:t>级指标</w:t>
            </w:r>
            <w:r w:rsidRPr="00BD361B">
              <w:rPr>
                <w:rFonts w:ascii="宋体" w:hAnsi="宋体" w:cs="宋体" w:hint="eastAsia"/>
                <w:color w:val="000000"/>
                <w:kern w:val="0"/>
                <w:sz w:val="20"/>
                <w:szCs w:val="20"/>
              </w:rPr>
              <w:t xml:space="preserve">　</w:t>
            </w:r>
          </w:p>
        </w:tc>
        <w:tc>
          <w:tcPr>
            <w:tcW w:w="622" w:type="pct"/>
            <w:vAlign w:val="center"/>
          </w:tcPr>
          <w:p w14:paraId="1B4C30FA"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三</w:t>
            </w:r>
            <w:r w:rsidRPr="00BD361B">
              <w:rPr>
                <w:rFonts w:ascii="宋体" w:hAnsi="宋体" w:cs="宋体"/>
                <w:color w:val="000000"/>
                <w:kern w:val="0"/>
                <w:sz w:val="20"/>
                <w:szCs w:val="20"/>
              </w:rPr>
              <w:t>级指标</w:t>
            </w:r>
            <w:r w:rsidRPr="00BD361B">
              <w:rPr>
                <w:rFonts w:ascii="宋体" w:hAnsi="宋体" w:cs="宋体" w:hint="eastAsia"/>
                <w:color w:val="000000"/>
                <w:kern w:val="0"/>
                <w:sz w:val="20"/>
                <w:szCs w:val="20"/>
              </w:rPr>
              <w:t xml:space="preserve">　</w:t>
            </w:r>
          </w:p>
        </w:tc>
        <w:tc>
          <w:tcPr>
            <w:tcW w:w="680" w:type="pct"/>
            <w:vAlign w:val="center"/>
          </w:tcPr>
          <w:p w14:paraId="54FF9D1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指标值</w:t>
            </w:r>
          </w:p>
        </w:tc>
        <w:tc>
          <w:tcPr>
            <w:tcW w:w="584" w:type="pct"/>
            <w:vAlign w:val="center"/>
          </w:tcPr>
          <w:p w14:paraId="6D39827E"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完成值</w:t>
            </w:r>
          </w:p>
        </w:tc>
        <w:tc>
          <w:tcPr>
            <w:tcW w:w="253" w:type="pct"/>
            <w:vAlign w:val="center"/>
          </w:tcPr>
          <w:p w14:paraId="52501C80"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分值</w:t>
            </w:r>
          </w:p>
        </w:tc>
        <w:tc>
          <w:tcPr>
            <w:tcW w:w="275" w:type="pct"/>
            <w:vAlign w:val="center"/>
          </w:tcPr>
          <w:p w14:paraId="666236B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得分</w:t>
            </w:r>
          </w:p>
        </w:tc>
        <w:tc>
          <w:tcPr>
            <w:tcW w:w="880" w:type="pct"/>
            <w:gridSpan w:val="2"/>
            <w:vAlign w:val="center"/>
          </w:tcPr>
          <w:p w14:paraId="60DABB23" w14:textId="77777777" w:rsidR="00BD361B" w:rsidRPr="00BD361B" w:rsidRDefault="00BD361B" w:rsidP="00E847FB">
            <w:pPr>
              <w:widowControl/>
              <w:jc w:val="center"/>
              <w:rPr>
                <w:rFonts w:ascii="宋体" w:hAnsi="宋体" w:cs="宋体"/>
                <w:bCs/>
                <w:color w:val="000000"/>
                <w:kern w:val="0"/>
                <w:sz w:val="20"/>
                <w:szCs w:val="20"/>
              </w:rPr>
            </w:pPr>
            <w:r w:rsidRPr="00BD361B">
              <w:rPr>
                <w:rFonts w:ascii="宋体" w:hAnsi="宋体" w:cs="宋体" w:hint="eastAsia"/>
                <w:bCs/>
                <w:color w:val="000000"/>
                <w:kern w:val="0"/>
                <w:sz w:val="20"/>
                <w:szCs w:val="20"/>
              </w:rPr>
              <w:t>指标</w:t>
            </w:r>
            <w:r w:rsidRPr="00BD361B">
              <w:rPr>
                <w:rFonts w:ascii="宋体" w:hAnsi="宋体" w:cs="宋体"/>
                <w:bCs/>
                <w:color w:val="000000"/>
                <w:kern w:val="0"/>
                <w:sz w:val="20"/>
                <w:szCs w:val="20"/>
              </w:rPr>
              <w:t>解释</w:t>
            </w:r>
          </w:p>
        </w:tc>
        <w:tc>
          <w:tcPr>
            <w:tcW w:w="1018" w:type="pct"/>
            <w:vAlign w:val="center"/>
          </w:tcPr>
          <w:p w14:paraId="424A1CA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评</w:t>
            </w:r>
            <w:r w:rsidRPr="00BD361B">
              <w:rPr>
                <w:rFonts w:ascii="宋体" w:hAnsi="宋体" w:cs="宋体"/>
                <w:color w:val="000000"/>
                <w:kern w:val="0"/>
                <w:sz w:val="20"/>
                <w:szCs w:val="20"/>
              </w:rPr>
              <w:t>分标准</w:t>
            </w:r>
          </w:p>
        </w:tc>
      </w:tr>
      <w:tr w:rsidR="00304C4C" w:rsidRPr="00BD361B" w14:paraId="0C16E5D4" w14:textId="77777777" w:rsidTr="00304C4C">
        <w:trPr>
          <w:trHeight w:val="454"/>
          <w:jc w:val="center"/>
        </w:trPr>
        <w:tc>
          <w:tcPr>
            <w:tcW w:w="318" w:type="pct"/>
            <w:vMerge w:val="restart"/>
            <w:vAlign w:val="center"/>
          </w:tcPr>
          <w:p w14:paraId="6C0AF688"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整体绩效目标实现情况（60）</w:t>
            </w:r>
          </w:p>
        </w:tc>
        <w:tc>
          <w:tcPr>
            <w:tcW w:w="370" w:type="pct"/>
            <w:vMerge w:val="restart"/>
            <w:vAlign w:val="center"/>
          </w:tcPr>
          <w:p w14:paraId="7BA0AA8D" w14:textId="77777777" w:rsidR="00BD361B" w:rsidRPr="00BD361B" w:rsidRDefault="00BD361B" w:rsidP="00E847FB">
            <w:pPr>
              <w:jc w:val="center"/>
              <w:rPr>
                <w:rFonts w:ascii="宋体" w:hAnsi="宋体" w:cs="宋体"/>
                <w:color w:val="000000"/>
                <w:kern w:val="0"/>
                <w:sz w:val="20"/>
                <w:szCs w:val="20"/>
              </w:rPr>
            </w:pPr>
            <w:r w:rsidRPr="00BD361B">
              <w:rPr>
                <w:rFonts w:ascii="宋体" w:hAnsi="宋体" w:cs="宋体" w:hint="eastAsia"/>
                <w:color w:val="000000"/>
                <w:kern w:val="0"/>
                <w:sz w:val="20"/>
                <w:szCs w:val="20"/>
              </w:rPr>
              <w:t>产出（30）</w:t>
            </w:r>
          </w:p>
        </w:tc>
        <w:tc>
          <w:tcPr>
            <w:tcW w:w="622" w:type="pct"/>
            <w:vAlign w:val="center"/>
          </w:tcPr>
          <w:p w14:paraId="4B7B24AA" w14:textId="046E6408" w:rsidR="00BD361B" w:rsidRPr="00BD361B" w:rsidRDefault="00C71417" w:rsidP="00C71417">
            <w:pPr>
              <w:jc w:val="center"/>
              <w:rPr>
                <w:rFonts w:ascii="宋体" w:hAnsi="宋体" w:cs="宋体" w:hint="eastAsia"/>
                <w:color w:val="000000"/>
                <w:kern w:val="0"/>
                <w:sz w:val="20"/>
                <w:szCs w:val="20"/>
              </w:rPr>
            </w:pPr>
            <w:r>
              <w:rPr>
                <w:rFonts w:ascii="宋体" w:hAnsi="宋体" w:cs="宋体" w:hint="eastAsia"/>
                <w:color w:val="000000"/>
                <w:kern w:val="0"/>
                <w:sz w:val="20"/>
                <w:szCs w:val="20"/>
              </w:rPr>
              <w:t>产出数量</w:t>
            </w:r>
          </w:p>
        </w:tc>
        <w:tc>
          <w:tcPr>
            <w:tcW w:w="680" w:type="pct"/>
            <w:vAlign w:val="center"/>
          </w:tcPr>
          <w:p w14:paraId="3AD619C3" w14:textId="60AB8840" w:rsidR="00552DF1" w:rsidRDefault="00C71417" w:rsidP="00F152AB">
            <w:pPr>
              <w:widowControl/>
              <w:jc w:val="center"/>
              <w:rPr>
                <w:rFonts w:ascii="宋体" w:hAnsi="宋体" w:cs="宋体"/>
                <w:color w:val="000000"/>
                <w:kern w:val="0"/>
                <w:sz w:val="20"/>
                <w:szCs w:val="20"/>
              </w:rPr>
            </w:pPr>
            <w:r>
              <w:rPr>
                <w:rFonts w:ascii="宋体" w:hAnsi="宋体" w:cs="宋体" w:hint="eastAsia"/>
                <w:color w:val="000000"/>
                <w:kern w:val="0"/>
                <w:sz w:val="20"/>
                <w:szCs w:val="20"/>
              </w:rPr>
              <w:t>（1）推进“两区”</w:t>
            </w:r>
            <w:r w:rsidR="00552DF1">
              <w:rPr>
                <w:rFonts w:ascii="宋体" w:hAnsi="宋体" w:cs="宋体" w:hint="eastAsia"/>
                <w:color w:val="000000"/>
                <w:kern w:val="0"/>
                <w:sz w:val="20"/>
                <w:szCs w:val="20"/>
              </w:rPr>
              <w:t>和服贸会平台建设：开展“两区”建设全方位宣传；积极实施自贸试验区提升行动；形成改革创新成果新亮点；健全多层次制度创新体系；举办中国国际服务贸易交易会</w:t>
            </w:r>
          </w:p>
          <w:p w14:paraId="376317E1" w14:textId="5C1D073D" w:rsidR="00680763" w:rsidRDefault="00C71417" w:rsidP="00F152AB">
            <w:pPr>
              <w:widowControl/>
              <w:jc w:val="center"/>
              <w:rPr>
                <w:rFonts w:ascii="宋体" w:hAnsi="宋体" w:cs="宋体"/>
                <w:color w:val="000000"/>
                <w:kern w:val="0"/>
                <w:sz w:val="20"/>
                <w:szCs w:val="20"/>
              </w:rPr>
            </w:pPr>
            <w:r>
              <w:rPr>
                <w:rFonts w:ascii="宋体" w:hAnsi="宋体" w:cs="宋体" w:hint="eastAsia"/>
                <w:color w:val="000000"/>
                <w:kern w:val="0"/>
                <w:sz w:val="20"/>
                <w:szCs w:val="20"/>
              </w:rPr>
              <w:t>（2）打造国际消费中心城市</w:t>
            </w:r>
            <w:r w:rsidR="00680763">
              <w:rPr>
                <w:rFonts w:ascii="宋体" w:hAnsi="宋体" w:cs="宋体" w:hint="eastAsia"/>
                <w:color w:val="000000"/>
                <w:kern w:val="0"/>
                <w:sz w:val="20"/>
                <w:szCs w:val="20"/>
              </w:rPr>
              <w:t>：推进商品消费提档升级；抓活动品牌，营造消费活跃氛围；抓政策引导，需求供给双向支撑；挖掘存量促进汽车消费；孵化培育新消费品牌</w:t>
            </w:r>
          </w:p>
          <w:p w14:paraId="48E7FAF8" w14:textId="732AC803" w:rsidR="00680763" w:rsidRDefault="00680763" w:rsidP="00F152A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（3）稳住外贸外资基本盘：促进外贸</w:t>
            </w:r>
            <w:r>
              <w:rPr>
                <w:rFonts w:ascii="宋体" w:hAnsi="宋体" w:cs="宋体" w:hint="eastAsia"/>
                <w:color w:val="000000"/>
                <w:kern w:val="0"/>
                <w:sz w:val="20"/>
                <w:szCs w:val="20"/>
              </w:rPr>
              <w:lastRenderedPageBreak/>
              <w:t>高质量发展；推动服务贸易创新发展；开展对外经济合作</w:t>
            </w:r>
          </w:p>
          <w:p w14:paraId="3D9BFD07" w14:textId="1FD0A00C" w:rsidR="00BD361B" w:rsidRPr="00BD361B" w:rsidRDefault="00C71417" w:rsidP="00F152A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r w:rsidR="00680763">
              <w:rPr>
                <w:rFonts w:ascii="宋体" w:hAnsi="宋体" w:cs="宋体" w:hint="eastAsia"/>
                <w:color w:val="000000"/>
                <w:kern w:val="0"/>
                <w:sz w:val="20"/>
                <w:szCs w:val="20"/>
              </w:rPr>
              <w:t>提升服务和保障水平：支持直播电商创新发展、线上线下消费融合发展、农副产品拓展线上销售渠道；推动老字号创新发展；支持城市运行保障物流等项目；促进生活服务业规范健康发展；提升便民商业设施补助；社区菜市场“颜值”“内涵”双提升实现新突破</w:t>
            </w:r>
          </w:p>
        </w:tc>
        <w:tc>
          <w:tcPr>
            <w:tcW w:w="584" w:type="pct"/>
            <w:vAlign w:val="center"/>
          </w:tcPr>
          <w:p w14:paraId="48CAC1D8" w14:textId="48DF8EEB" w:rsidR="00BD361B" w:rsidRPr="00BD361B" w:rsidRDefault="00680763" w:rsidP="00304C4C">
            <w:pPr>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由于政策执行周期、年度工作调整等因素影响，个别支持城市商业综合体企业、支持线下零售及餐饮企业，培育壮大网络消费市场政策支持工作等实际完成情况未达到预期指标要求</w:t>
            </w:r>
            <w:r w:rsidR="00F152AB">
              <w:rPr>
                <w:rFonts w:ascii="宋体" w:hAnsi="宋体" w:cs="宋体" w:hint="eastAsia"/>
                <w:color w:val="000000"/>
                <w:kern w:val="0"/>
                <w:sz w:val="20"/>
                <w:szCs w:val="20"/>
              </w:rPr>
              <w:t>，</w:t>
            </w:r>
            <w:r w:rsidR="00F152AB">
              <w:rPr>
                <w:rStyle w:val="font11"/>
                <w:rFonts w:hint="default"/>
                <w:lang w:bidi="ar"/>
              </w:rPr>
              <w:t>其他任务基本按计划在年度内实施完成。</w:t>
            </w:r>
          </w:p>
        </w:tc>
        <w:tc>
          <w:tcPr>
            <w:tcW w:w="253" w:type="pct"/>
            <w:vAlign w:val="center"/>
          </w:tcPr>
          <w:p w14:paraId="257B553C" w14:textId="5AB89FB9" w:rsidR="00BD361B" w:rsidRPr="00BD361B" w:rsidRDefault="00680763" w:rsidP="00E847FB">
            <w:pPr>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275" w:type="pct"/>
            <w:vAlign w:val="center"/>
          </w:tcPr>
          <w:p w14:paraId="0781A981" w14:textId="082242E4" w:rsidR="00BD361B" w:rsidRPr="00BD361B" w:rsidRDefault="00680763" w:rsidP="00E847FB">
            <w:pPr>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880" w:type="pct"/>
            <w:gridSpan w:val="2"/>
            <w:vMerge w:val="restart"/>
            <w:vAlign w:val="center"/>
          </w:tcPr>
          <w:p w14:paraId="14507103"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产出数量</w:t>
            </w:r>
            <w:r w:rsidRPr="00BD361B">
              <w:rPr>
                <w:rFonts w:ascii="宋体" w:hAnsi="宋体" w:cs="宋体" w:hint="eastAsia"/>
                <w:color w:val="000000"/>
                <w:kern w:val="0"/>
                <w:sz w:val="20"/>
                <w:szCs w:val="20"/>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sidRPr="00BD361B">
              <w:rPr>
                <w:rFonts w:ascii="宋体" w:hAnsi="宋体" w:cs="宋体" w:hint="eastAsia"/>
                <w:b/>
                <w:bCs/>
                <w:color w:val="000000"/>
                <w:kern w:val="0"/>
                <w:sz w:val="20"/>
                <w:szCs w:val="20"/>
              </w:rPr>
              <w:t>产出质量</w:t>
            </w:r>
            <w:r w:rsidRPr="00BD361B">
              <w:rPr>
                <w:rFonts w:ascii="宋体" w:hAnsi="宋体" w:cs="宋体" w:hint="eastAsia"/>
                <w:color w:val="000000"/>
                <w:kern w:val="0"/>
                <w:sz w:val="20"/>
                <w:szCs w:val="20"/>
              </w:rPr>
              <w:t>：质量达标率=质量达标工作数/实际完成工作数×100%。质量达标工作数：一定时期（年度或规划期）内部门（单位）实际完成工作数中达到部门绩效目标要求（绩效标准值）的工作任务数量。</w:t>
            </w:r>
            <w:r w:rsidRPr="00BD361B">
              <w:rPr>
                <w:rFonts w:ascii="宋体" w:hAnsi="宋体" w:cs="宋体" w:hint="eastAsia"/>
                <w:b/>
                <w:bCs/>
                <w:color w:val="000000"/>
                <w:kern w:val="0"/>
                <w:sz w:val="20"/>
                <w:szCs w:val="20"/>
              </w:rPr>
              <w:t>产出进度：</w:t>
            </w:r>
            <w:r w:rsidRPr="00BD361B">
              <w:rPr>
                <w:rFonts w:ascii="宋体" w:hAnsi="宋体" w:cs="宋体" w:hint="eastAsia"/>
                <w:color w:val="000000"/>
                <w:kern w:val="0"/>
                <w:sz w:val="20"/>
                <w:szCs w:val="20"/>
              </w:rPr>
              <w:t>按时完成率=（按时完成工作数/实际完成工作数）×100%。按时完成工作数：部门（单位）按照整体绩</w:t>
            </w:r>
            <w:r w:rsidRPr="00BD361B">
              <w:rPr>
                <w:rFonts w:ascii="宋体" w:hAnsi="宋体" w:cs="宋体" w:hint="eastAsia"/>
                <w:color w:val="000000"/>
                <w:kern w:val="0"/>
                <w:sz w:val="20"/>
                <w:szCs w:val="20"/>
              </w:rPr>
              <w:lastRenderedPageBreak/>
              <w:t>效目标确定的时限实际完成的工作任务数量。</w:t>
            </w:r>
            <w:r w:rsidRPr="00BD361B">
              <w:rPr>
                <w:rFonts w:ascii="宋体" w:hAnsi="宋体" w:cs="宋体" w:hint="eastAsia"/>
                <w:b/>
                <w:bCs/>
                <w:color w:val="000000"/>
                <w:kern w:val="0"/>
                <w:sz w:val="20"/>
                <w:szCs w:val="20"/>
              </w:rPr>
              <w:t>产出成本</w:t>
            </w:r>
            <w:r w:rsidRPr="00BD361B">
              <w:rPr>
                <w:rFonts w:ascii="宋体" w:hAnsi="宋体" w:cs="宋体" w:hint="eastAsia"/>
                <w:color w:val="000000"/>
                <w:kern w:val="0"/>
                <w:sz w:val="20"/>
                <w:szCs w:val="20"/>
              </w:rPr>
              <w:t>：单位产出相对于上一年度的节约额；②单位产出相对于市场同类产出的节约额；③部门公用经费的控制情况。</w:t>
            </w:r>
          </w:p>
        </w:tc>
        <w:tc>
          <w:tcPr>
            <w:tcW w:w="1018" w:type="pct"/>
            <w:vMerge w:val="restart"/>
            <w:vAlign w:val="center"/>
          </w:tcPr>
          <w:p w14:paraId="6D0C4DF0"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lastRenderedPageBreak/>
              <w:t>部门根据本单位情况自行确定并选择产出指标，合理确定各项指标权重。可量化的指标按照比率*单项指标分值即为该指标得分。如果不能定量评价，则以定性的方式进行自评。</w:t>
            </w:r>
          </w:p>
        </w:tc>
      </w:tr>
      <w:tr w:rsidR="00304C4C" w:rsidRPr="00BD361B" w14:paraId="6EB2DD14" w14:textId="77777777" w:rsidTr="00304C4C">
        <w:trPr>
          <w:trHeight w:val="454"/>
          <w:jc w:val="center"/>
        </w:trPr>
        <w:tc>
          <w:tcPr>
            <w:tcW w:w="318" w:type="pct"/>
            <w:vMerge/>
            <w:vAlign w:val="center"/>
          </w:tcPr>
          <w:p w14:paraId="657BB062"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552A8C8C"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3D051BAB" w14:textId="5F9FDAAA" w:rsidR="00BD361B" w:rsidRPr="00BD361B" w:rsidRDefault="00C71417" w:rsidP="00C7141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产出质量</w:t>
            </w:r>
          </w:p>
        </w:tc>
        <w:tc>
          <w:tcPr>
            <w:tcW w:w="680" w:type="pct"/>
            <w:vAlign w:val="center"/>
          </w:tcPr>
          <w:p w14:paraId="66605449" w14:textId="77777777" w:rsidR="00BD361B" w:rsidRDefault="00552DF1" w:rsidP="00F152AB">
            <w:pPr>
              <w:widowControl/>
              <w:jc w:val="center"/>
              <w:rPr>
                <w:rFonts w:ascii="宋体" w:hAnsi="宋体" w:cs="宋体"/>
                <w:color w:val="000000"/>
                <w:kern w:val="0"/>
                <w:sz w:val="20"/>
                <w:szCs w:val="20"/>
              </w:rPr>
            </w:pPr>
            <w:r>
              <w:rPr>
                <w:rFonts w:ascii="宋体" w:hAnsi="宋体" w:cs="宋体" w:hint="eastAsia"/>
                <w:color w:val="000000"/>
                <w:kern w:val="0"/>
                <w:sz w:val="20"/>
                <w:szCs w:val="20"/>
              </w:rPr>
              <w:t>（1）实现质的有效提升和量的合理增长；</w:t>
            </w:r>
          </w:p>
          <w:p w14:paraId="45508139" w14:textId="6B566330" w:rsidR="00552DF1" w:rsidRPr="00BD361B" w:rsidRDefault="00552DF1" w:rsidP="00F152A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（2）项目按照相关管理办法有效执行</w:t>
            </w:r>
          </w:p>
        </w:tc>
        <w:tc>
          <w:tcPr>
            <w:tcW w:w="584" w:type="pct"/>
            <w:vAlign w:val="center"/>
          </w:tcPr>
          <w:p w14:paraId="41D31A07" w14:textId="7BC754AC" w:rsidR="00BD361B" w:rsidRPr="00BD361B" w:rsidRDefault="00552DF1" w:rsidP="00304C4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达成年度指标</w:t>
            </w:r>
          </w:p>
        </w:tc>
        <w:tc>
          <w:tcPr>
            <w:tcW w:w="253" w:type="pct"/>
            <w:vAlign w:val="center"/>
          </w:tcPr>
          <w:p w14:paraId="5A9A5948" w14:textId="5ADC3D03"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275" w:type="pct"/>
            <w:noWrap/>
            <w:vAlign w:val="center"/>
          </w:tcPr>
          <w:p w14:paraId="6E5FF7B8" w14:textId="021D3E91"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0" w:type="pct"/>
            <w:gridSpan w:val="2"/>
            <w:vMerge/>
            <w:vAlign w:val="center"/>
          </w:tcPr>
          <w:p w14:paraId="72AF4281"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48974806"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352CFFA7" w14:textId="77777777" w:rsidTr="00304C4C">
        <w:trPr>
          <w:trHeight w:val="454"/>
          <w:jc w:val="center"/>
        </w:trPr>
        <w:tc>
          <w:tcPr>
            <w:tcW w:w="318" w:type="pct"/>
            <w:vMerge/>
            <w:vAlign w:val="center"/>
          </w:tcPr>
          <w:p w14:paraId="5ED82C5E"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262B05C4"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6014D916" w14:textId="46ECCF92" w:rsidR="00BD361B" w:rsidRPr="00BD361B" w:rsidRDefault="00C71417" w:rsidP="00C7141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产出时效</w:t>
            </w:r>
          </w:p>
        </w:tc>
        <w:tc>
          <w:tcPr>
            <w:tcW w:w="680" w:type="pct"/>
            <w:vAlign w:val="center"/>
          </w:tcPr>
          <w:p w14:paraId="32182B22" w14:textId="57999741" w:rsidR="00BD361B" w:rsidRPr="00BD361B" w:rsidRDefault="00C71417" w:rsidP="00F152A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按照年初制定的全年工作计划落实执行</w:t>
            </w:r>
          </w:p>
        </w:tc>
        <w:tc>
          <w:tcPr>
            <w:tcW w:w="584" w:type="pct"/>
            <w:vAlign w:val="center"/>
          </w:tcPr>
          <w:p w14:paraId="216B8E75" w14:textId="0856D6C9" w:rsidR="00BD361B" w:rsidRPr="00BD361B" w:rsidRDefault="00552DF1" w:rsidP="00304C4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基本按照年初制定的全年工作计划落实执行</w:t>
            </w:r>
          </w:p>
        </w:tc>
        <w:tc>
          <w:tcPr>
            <w:tcW w:w="253" w:type="pct"/>
            <w:vAlign w:val="center"/>
          </w:tcPr>
          <w:p w14:paraId="3644E443" w14:textId="5D428808"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275" w:type="pct"/>
            <w:noWrap/>
            <w:vAlign w:val="center"/>
          </w:tcPr>
          <w:p w14:paraId="0BF5BC4E" w14:textId="5503F14F"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p>
        </w:tc>
        <w:tc>
          <w:tcPr>
            <w:tcW w:w="880" w:type="pct"/>
            <w:gridSpan w:val="2"/>
            <w:vMerge/>
            <w:vAlign w:val="center"/>
          </w:tcPr>
          <w:p w14:paraId="6D45A744"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242EDEFB"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7BFBA28C" w14:textId="77777777" w:rsidTr="00304C4C">
        <w:trPr>
          <w:trHeight w:val="454"/>
          <w:jc w:val="center"/>
        </w:trPr>
        <w:tc>
          <w:tcPr>
            <w:tcW w:w="318" w:type="pct"/>
            <w:vMerge/>
            <w:vAlign w:val="center"/>
          </w:tcPr>
          <w:p w14:paraId="1A58738D"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4E559F72"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69278148" w14:textId="05ACE4F3" w:rsidR="00BD361B" w:rsidRPr="00BD361B" w:rsidRDefault="00C71417" w:rsidP="00C7141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产出成本</w:t>
            </w:r>
          </w:p>
        </w:tc>
        <w:tc>
          <w:tcPr>
            <w:tcW w:w="680" w:type="pct"/>
            <w:vAlign w:val="center"/>
          </w:tcPr>
          <w:p w14:paraId="5F91F63E" w14:textId="4B97CD8C" w:rsidR="00792FF0" w:rsidRPr="00BD361B" w:rsidRDefault="00552DF1" w:rsidP="00792F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部门成本控制情况</w:t>
            </w:r>
          </w:p>
        </w:tc>
        <w:tc>
          <w:tcPr>
            <w:tcW w:w="584" w:type="pct"/>
            <w:vAlign w:val="center"/>
          </w:tcPr>
          <w:p w14:paraId="742003CE" w14:textId="77777777" w:rsidR="00BD361B" w:rsidRDefault="00552DF1" w:rsidP="00304C4C">
            <w:pPr>
              <w:widowControl/>
              <w:jc w:val="center"/>
              <w:rPr>
                <w:rFonts w:ascii="宋体" w:hAnsi="宋体" w:cs="宋体"/>
                <w:color w:val="000000"/>
                <w:kern w:val="0"/>
                <w:sz w:val="20"/>
                <w:szCs w:val="20"/>
              </w:rPr>
            </w:pPr>
            <w:r>
              <w:rPr>
                <w:rFonts w:ascii="宋体" w:hAnsi="宋体" w:cs="宋体" w:hint="eastAsia"/>
                <w:color w:val="000000"/>
                <w:kern w:val="0"/>
                <w:sz w:val="20"/>
                <w:szCs w:val="20"/>
              </w:rPr>
              <w:t>①部门整体成本控制在预算范围内；</w:t>
            </w:r>
          </w:p>
          <w:p w14:paraId="2C67467F" w14:textId="11D0E1A8" w:rsidR="00552DF1" w:rsidRPr="00BD361B" w:rsidRDefault="00552DF1" w:rsidP="00304C4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②公用经费和三公经费控制在预算范围内</w:t>
            </w:r>
          </w:p>
        </w:tc>
        <w:tc>
          <w:tcPr>
            <w:tcW w:w="253" w:type="pct"/>
            <w:vAlign w:val="center"/>
          </w:tcPr>
          <w:p w14:paraId="11082F3C" w14:textId="1FFDDD56"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275" w:type="pct"/>
            <w:noWrap/>
            <w:vAlign w:val="center"/>
          </w:tcPr>
          <w:p w14:paraId="0208D403" w14:textId="70E448D7"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0" w:type="pct"/>
            <w:gridSpan w:val="2"/>
            <w:vMerge/>
            <w:vAlign w:val="center"/>
          </w:tcPr>
          <w:p w14:paraId="27BA27F2"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2B9B32E1"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1811C603" w14:textId="77777777" w:rsidTr="00304C4C">
        <w:trPr>
          <w:trHeight w:val="454"/>
          <w:jc w:val="center"/>
        </w:trPr>
        <w:tc>
          <w:tcPr>
            <w:tcW w:w="318" w:type="pct"/>
            <w:vMerge/>
            <w:vAlign w:val="center"/>
          </w:tcPr>
          <w:p w14:paraId="41FC2F9D"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restart"/>
            <w:vAlign w:val="center"/>
          </w:tcPr>
          <w:p w14:paraId="02BB723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效果（30）</w:t>
            </w:r>
          </w:p>
        </w:tc>
        <w:tc>
          <w:tcPr>
            <w:tcW w:w="622" w:type="pct"/>
            <w:vAlign w:val="center"/>
          </w:tcPr>
          <w:p w14:paraId="39A1CE28" w14:textId="68D7912D" w:rsidR="000E528A" w:rsidRPr="00BD361B" w:rsidRDefault="000E528A" w:rsidP="000E528A">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主动作为服务国家战略，持续激发高质量发展动力源泉</w:t>
            </w:r>
          </w:p>
        </w:tc>
        <w:tc>
          <w:tcPr>
            <w:tcW w:w="680" w:type="pct"/>
            <w:vAlign w:val="center"/>
          </w:tcPr>
          <w:p w14:paraId="0F6EB185" w14:textId="30E94E8E" w:rsidR="00BD361B" w:rsidRPr="00BD361B" w:rsidRDefault="000E528A"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显著</w:t>
            </w:r>
          </w:p>
        </w:tc>
        <w:tc>
          <w:tcPr>
            <w:tcW w:w="584" w:type="pct"/>
            <w:vAlign w:val="center"/>
          </w:tcPr>
          <w:p w14:paraId="0B587744" w14:textId="4787F3B5" w:rsidR="00B22D22" w:rsidRDefault="000E528A" w:rsidP="00B22D22">
            <w:pPr>
              <w:widowControl/>
              <w:jc w:val="center"/>
              <w:rPr>
                <w:rFonts w:ascii="宋体" w:hAnsi="宋体" w:cs="宋体"/>
                <w:color w:val="000000"/>
                <w:kern w:val="0"/>
                <w:sz w:val="20"/>
                <w:szCs w:val="20"/>
              </w:rPr>
            </w:pPr>
            <w:r>
              <w:rPr>
                <w:rFonts w:ascii="宋体" w:hAnsi="宋体" w:cs="宋体" w:hint="eastAsia"/>
                <w:color w:val="000000"/>
                <w:kern w:val="0"/>
                <w:sz w:val="20"/>
                <w:szCs w:val="20"/>
              </w:rPr>
              <w:t>①“两区”建设落地实施13项突破性政策，新增落地项目同比增长139%，</w:t>
            </w:r>
            <w:r w:rsidR="00792FF0">
              <w:rPr>
                <w:rFonts w:ascii="宋体" w:hAnsi="宋体" w:cs="宋体" w:hint="eastAsia"/>
                <w:color w:val="000000"/>
                <w:kern w:val="0"/>
                <w:sz w:val="20"/>
                <w:szCs w:val="20"/>
              </w:rPr>
              <w:t>16</w:t>
            </w:r>
            <w:r>
              <w:rPr>
                <w:rFonts w:ascii="宋体" w:hAnsi="宋体" w:cs="宋体" w:hint="eastAsia"/>
                <w:color w:val="000000"/>
                <w:kern w:val="0"/>
                <w:sz w:val="20"/>
                <w:szCs w:val="20"/>
              </w:rPr>
              <w:t>项经验案例向全国复制推广</w:t>
            </w:r>
            <w:r w:rsidR="00B22D22">
              <w:rPr>
                <w:rFonts w:ascii="宋体" w:hAnsi="宋体" w:cs="宋体" w:hint="eastAsia"/>
                <w:color w:val="000000"/>
                <w:kern w:val="0"/>
                <w:sz w:val="20"/>
                <w:szCs w:val="20"/>
              </w:rPr>
              <w:t>；2023年服贸会成功打</w:t>
            </w:r>
            <w:r w:rsidR="00B22D22" w:rsidRPr="00B22D22">
              <w:rPr>
                <w:rFonts w:ascii="宋体" w:hAnsi="宋体" w:cs="宋体" w:hint="eastAsia"/>
                <w:color w:val="000000"/>
                <w:kern w:val="0"/>
                <w:sz w:val="20"/>
                <w:szCs w:val="20"/>
              </w:rPr>
              <w:t>“投资中国年”专场推介等活动，国际化率超过20%，达成各类成果1100余项</w:t>
            </w:r>
            <w:r w:rsidR="00B22D22">
              <w:rPr>
                <w:rFonts w:ascii="宋体" w:hAnsi="宋体" w:cs="宋体" w:hint="eastAsia"/>
                <w:color w:val="000000"/>
                <w:kern w:val="0"/>
                <w:sz w:val="20"/>
                <w:szCs w:val="20"/>
              </w:rPr>
              <w:t>；</w:t>
            </w:r>
            <w:r w:rsidR="00B22D22" w:rsidRPr="00B22D22">
              <w:rPr>
                <w:rFonts w:ascii="宋体" w:hAnsi="宋体" w:cs="宋体" w:hint="eastAsia"/>
                <w:color w:val="000000"/>
                <w:kern w:val="0"/>
                <w:sz w:val="20"/>
                <w:szCs w:val="20"/>
              </w:rPr>
              <w:t>双边贸易额占外贸进出口总额的52.7%</w:t>
            </w:r>
          </w:p>
          <w:p w14:paraId="249CFEC1" w14:textId="50B1F811" w:rsidR="00B22D22" w:rsidRPr="00BD361B" w:rsidRDefault="00B22D22" w:rsidP="00B22D2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②</w:t>
            </w:r>
            <w:r w:rsidRPr="00B22D22">
              <w:rPr>
                <w:rFonts w:ascii="宋体" w:hAnsi="宋体" w:cs="宋体" w:hint="eastAsia"/>
                <w:color w:val="000000"/>
                <w:kern w:val="0"/>
                <w:sz w:val="20"/>
                <w:szCs w:val="20"/>
              </w:rPr>
              <w:t>推动梳理“北京礼物”产品体系认证922件商品，引进国际体育赛事52项，万平方米以上场馆举办展会233场，互联网医院增至65家，大型营业性演出、体育赛事、展览展销活动审批时限压缩超80%，40个行业“一业一证”全部上线</w:t>
            </w:r>
          </w:p>
        </w:tc>
        <w:tc>
          <w:tcPr>
            <w:tcW w:w="253" w:type="pct"/>
            <w:noWrap/>
            <w:vAlign w:val="center"/>
          </w:tcPr>
          <w:p w14:paraId="35E5F7DF" w14:textId="4CB2BAE3" w:rsidR="00BD361B" w:rsidRPr="00BD361B" w:rsidRDefault="00E22FEB"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8</w:t>
            </w:r>
          </w:p>
        </w:tc>
        <w:tc>
          <w:tcPr>
            <w:tcW w:w="275" w:type="pct"/>
            <w:noWrap/>
            <w:vAlign w:val="center"/>
          </w:tcPr>
          <w:p w14:paraId="526303F9" w14:textId="2D488B27" w:rsidR="00BD361B" w:rsidRPr="00BD361B" w:rsidRDefault="00E22FE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880" w:type="pct"/>
            <w:gridSpan w:val="2"/>
            <w:vMerge w:val="restart"/>
            <w:vAlign w:val="center"/>
          </w:tcPr>
          <w:p w14:paraId="3B9C38C1"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经济效益</w:t>
            </w:r>
            <w:r w:rsidRPr="00BD361B">
              <w:rPr>
                <w:rFonts w:ascii="宋体" w:hAnsi="宋体" w:cs="宋体" w:hint="eastAsia"/>
                <w:color w:val="000000"/>
                <w:kern w:val="0"/>
                <w:sz w:val="20"/>
                <w:szCs w:val="20"/>
              </w:rPr>
              <w:t>：部门（单位）履行职责对经济发展所带来的直接或间接影响。</w:t>
            </w:r>
            <w:r w:rsidRPr="00BD361B">
              <w:rPr>
                <w:rFonts w:ascii="宋体" w:hAnsi="宋体" w:cs="宋体" w:hint="eastAsia"/>
                <w:b/>
                <w:bCs/>
                <w:color w:val="000000"/>
                <w:kern w:val="0"/>
                <w:sz w:val="20"/>
                <w:szCs w:val="20"/>
              </w:rPr>
              <w:t>社会效益</w:t>
            </w:r>
            <w:r w:rsidRPr="00BD361B">
              <w:rPr>
                <w:rFonts w:ascii="宋体" w:hAnsi="宋体" w:cs="宋体" w:hint="eastAsia"/>
                <w:color w:val="000000"/>
                <w:kern w:val="0"/>
                <w:sz w:val="20"/>
                <w:szCs w:val="20"/>
              </w:rPr>
              <w:t>：部门（单位）履行职责对社会发展所带来的直接或间接影响。</w:t>
            </w:r>
            <w:r w:rsidRPr="00BD361B">
              <w:rPr>
                <w:rFonts w:ascii="宋体" w:hAnsi="宋体" w:cs="宋体" w:hint="eastAsia"/>
                <w:b/>
                <w:bCs/>
                <w:color w:val="000000"/>
                <w:kern w:val="0"/>
                <w:sz w:val="20"/>
                <w:szCs w:val="20"/>
              </w:rPr>
              <w:t>环境效益</w:t>
            </w:r>
            <w:r w:rsidRPr="00BD361B">
              <w:rPr>
                <w:rFonts w:ascii="宋体" w:hAnsi="宋体" w:cs="宋体" w:hint="eastAsia"/>
                <w:color w:val="000000"/>
                <w:kern w:val="0"/>
                <w:sz w:val="20"/>
                <w:szCs w:val="20"/>
              </w:rPr>
              <w:t>：部门（单位）履行职责对环境所带来的直接或间接影响。</w:t>
            </w:r>
            <w:r w:rsidRPr="00BD361B">
              <w:rPr>
                <w:rFonts w:ascii="宋体" w:hAnsi="宋体" w:cs="宋体" w:hint="eastAsia"/>
                <w:b/>
                <w:bCs/>
                <w:color w:val="000000"/>
                <w:kern w:val="0"/>
                <w:sz w:val="20"/>
                <w:szCs w:val="20"/>
              </w:rPr>
              <w:t>可持续性影响：</w:t>
            </w:r>
            <w:r w:rsidRPr="00BD361B">
              <w:rPr>
                <w:rFonts w:ascii="宋体" w:hAnsi="宋体" w:cs="宋体" w:hint="eastAsia"/>
                <w:color w:val="000000"/>
                <w:kern w:val="0"/>
                <w:sz w:val="20"/>
                <w:szCs w:val="20"/>
              </w:rPr>
              <w:t>部门绩效目标实现的长效机制建设情况，部门工作效率提升措施的创新。</w:t>
            </w:r>
            <w:r w:rsidRPr="00BD361B">
              <w:rPr>
                <w:rFonts w:ascii="宋体" w:hAnsi="宋体" w:cs="宋体" w:hint="eastAsia"/>
                <w:b/>
                <w:bCs/>
                <w:color w:val="000000"/>
                <w:kern w:val="0"/>
                <w:sz w:val="20"/>
                <w:szCs w:val="20"/>
              </w:rPr>
              <w:t>服务对象满意度</w:t>
            </w:r>
            <w:r w:rsidRPr="00BD361B">
              <w:rPr>
                <w:rFonts w:ascii="宋体" w:hAnsi="宋体" w:cs="宋体" w:hint="eastAsia"/>
                <w:color w:val="000000"/>
                <w:kern w:val="0"/>
                <w:sz w:val="20"/>
                <w:szCs w:val="20"/>
              </w:rPr>
              <w:t>：部门（单位）的服务对象对部门履职效果的满意程度。</w:t>
            </w:r>
          </w:p>
        </w:tc>
        <w:tc>
          <w:tcPr>
            <w:tcW w:w="1018" w:type="pct"/>
            <w:vMerge w:val="restart"/>
            <w:vAlign w:val="center"/>
          </w:tcPr>
          <w:p w14:paraId="733A2106"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部门根据实际情况选择指标进行填写，并将其细化为相应的个性化指标。对于效益类指标可从受益对象瞄准度、受益广度和受益深度上进行设计分析。</w:t>
            </w:r>
          </w:p>
        </w:tc>
      </w:tr>
      <w:tr w:rsidR="00304C4C" w:rsidRPr="00BD361B" w14:paraId="67DB889B" w14:textId="77777777" w:rsidTr="00304C4C">
        <w:trPr>
          <w:trHeight w:val="454"/>
          <w:jc w:val="center"/>
        </w:trPr>
        <w:tc>
          <w:tcPr>
            <w:tcW w:w="318" w:type="pct"/>
            <w:vMerge/>
            <w:vAlign w:val="center"/>
          </w:tcPr>
          <w:p w14:paraId="7CE62B0A"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250E298D"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1F748395" w14:textId="4D73DBFC" w:rsidR="000E528A" w:rsidRPr="00BD361B" w:rsidRDefault="00F2140E" w:rsidP="00F2140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稳增长优结构，行业稳中向好基础更加坚实</w:t>
            </w:r>
          </w:p>
        </w:tc>
        <w:tc>
          <w:tcPr>
            <w:tcW w:w="680" w:type="pct"/>
            <w:vAlign w:val="center"/>
          </w:tcPr>
          <w:p w14:paraId="53E8B77B" w14:textId="70CB29C3" w:rsidR="00BD361B" w:rsidRPr="00BD361B" w:rsidRDefault="00F2140E"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显著</w:t>
            </w:r>
          </w:p>
        </w:tc>
        <w:tc>
          <w:tcPr>
            <w:tcW w:w="584" w:type="pct"/>
            <w:vAlign w:val="center"/>
          </w:tcPr>
          <w:p w14:paraId="7DE349D4" w14:textId="77777777" w:rsidR="00BD361B" w:rsidRDefault="00F2140E"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①</w:t>
            </w:r>
            <w:r w:rsidR="00B22D22">
              <w:rPr>
                <w:rFonts w:ascii="宋体" w:hAnsi="宋体" w:cs="宋体" w:hint="eastAsia"/>
                <w:color w:val="000000"/>
                <w:kern w:val="0"/>
                <w:sz w:val="20"/>
                <w:szCs w:val="20"/>
              </w:rPr>
              <w:t>出台商品消费促进政策10项，拉动</w:t>
            </w:r>
            <w:r w:rsidR="00B22D22" w:rsidRPr="00B22D22">
              <w:rPr>
                <w:rFonts w:ascii="宋体" w:hAnsi="宋体" w:cs="宋体" w:hint="eastAsia"/>
                <w:color w:val="000000"/>
                <w:kern w:val="0"/>
                <w:sz w:val="20"/>
                <w:szCs w:val="20"/>
              </w:rPr>
              <w:t>新车消费超60亿元、绿色智能家居消费53亿元，新增落地品牌首店946家，244家北京老字号年营业收入达1800亿元，300余家</w:t>
            </w:r>
            <w:r w:rsidR="00B22D22" w:rsidRPr="00B22D22">
              <w:rPr>
                <w:rFonts w:ascii="宋体" w:hAnsi="宋体" w:cs="宋体" w:hint="eastAsia"/>
                <w:color w:val="000000"/>
                <w:kern w:val="0"/>
                <w:sz w:val="20"/>
                <w:szCs w:val="20"/>
              </w:rPr>
              <w:lastRenderedPageBreak/>
              <w:t>新消费品牌企业领跑全国智能科技、国潮玩具等新品牌赛道</w:t>
            </w:r>
            <w:r w:rsidR="00B22D22">
              <w:rPr>
                <w:rFonts w:ascii="宋体" w:hAnsi="宋体" w:cs="宋体" w:hint="eastAsia"/>
                <w:color w:val="000000"/>
                <w:kern w:val="0"/>
                <w:sz w:val="20"/>
                <w:szCs w:val="20"/>
              </w:rPr>
              <w:t>；</w:t>
            </w:r>
          </w:p>
          <w:p w14:paraId="2E10BB30" w14:textId="6E9D88BB" w:rsidR="00B22D22" w:rsidRDefault="00B22D22" w:rsidP="00B22D22">
            <w:pPr>
              <w:widowControl/>
              <w:jc w:val="center"/>
              <w:rPr>
                <w:rFonts w:ascii="宋体" w:hAnsi="宋体" w:cs="宋体"/>
                <w:color w:val="000000"/>
                <w:kern w:val="0"/>
                <w:sz w:val="20"/>
                <w:szCs w:val="20"/>
              </w:rPr>
            </w:pPr>
            <w:r>
              <w:rPr>
                <w:rFonts w:ascii="宋体" w:hAnsi="宋体" w:cs="宋体" w:hint="eastAsia"/>
                <w:color w:val="000000"/>
                <w:kern w:val="0"/>
                <w:sz w:val="20"/>
                <w:szCs w:val="20"/>
              </w:rPr>
              <w:t>②</w:t>
            </w:r>
            <w:r w:rsidRPr="00B22D22">
              <w:rPr>
                <w:rFonts w:ascii="宋体" w:hAnsi="宋体" w:cs="宋体" w:hint="eastAsia"/>
                <w:color w:val="000000"/>
                <w:kern w:val="0"/>
                <w:sz w:val="20"/>
                <w:szCs w:val="20"/>
              </w:rPr>
              <w:t>依托外贸转型升级基地培育汽车出口新优势，“新三样”产品出口中电动载人汽车同比增长12.7%</w:t>
            </w:r>
            <w:r>
              <w:rPr>
                <w:rFonts w:ascii="宋体" w:hAnsi="宋体" w:cs="宋体" w:hint="eastAsia"/>
                <w:color w:val="000000"/>
                <w:kern w:val="0"/>
                <w:sz w:val="20"/>
                <w:szCs w:val="20"/>
              </w:rPr>
              <w:t>；</w:t>
            </w:r>
            <w:r w:rsidRPr="00B22D22">
              <w:rPr>
                <w:rFonts w:ascii="宋体" w:hAnsi="宋体" w:cs="宋体" w:hint="eastAsia"/>
                <w:color w:val="000000"/>
                <w:kern w:val="0"/>
                <w:sz w:val="20"/>
                <w:szCs w:val="20"/>
              </w:rPr>
              <w:t>“双自主”企业出口同比增长9.6%，出口占比增至29.8%</w:t>
            </w:r>
            <w:r>
              <w:rPr>
                <w:rFonts w:ascii="宋体" w:hAnsi="宋体" w:cs="宋体" w:hint="eastAsia"/>
                <w:color w:val="000000"/>
                <w:kern w:val="0"/>
                <w:sz w:val="20"/>
                <w:szCs w:val="20"/>
              </w:rPr>
              <w:t>；</w:t>
            </w:r>
          </w:p>
          <w:p w14:paraId="21D3C70C" w14:textId="23BD4586" w:rsidR="00B22D22" w:rsidRPr="00BD361B" w:rsidRDefault="00B22D22"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③</w:t>
            </w:r>
            <w:r w:rsidRPr="00B22D22">
              <w:rPr>
                <w:rFonts w:ascii="宋体" w:hAnsi="宋体" w:cs="宋体" w:hint="eastAsia"/>
                <w:color w:val="000000"/>
                <w:kern w:val="0"/>
                <w:sz w:val="20"/>
                <w:szCs w:val="20"/>
              </w:rPr>
              <w:t>建立外资企业圆桌会议制度和闭环式诉求解决机制，诉求建议响应办理率100%</w:t>
            </w:r>
          </w:p>
        </w:tc>
        <w:tc>
          <w:tcPr>
            <w:tcW w:w="253" w:type="pct"/>
            <w:vAlign w:val="center"/>
          </w:tcPr>
          <w:p w14:paraId="5487D74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lastRenderedPageBreak/>
              <w:t>8</w:t>
            </w:r>
          </w:p>
        </w:tc>
        <w:tc>
          <w:tcPr>
            <w:tcW w:w="275" w:type="pct"/>
            <w:noWrap/>
            <w:vAlign w:val="center"/>
          </w:tcPr>
          <w:p w14:paraId="7A5A6FF1" w14:textId="1548E7BA" w:rsidR="00BD361B" w:rsidRPr="00BD361B" w:rsidRDefault="00552DF1"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r w:rsidR="00680763">
              <w:rPr>
                <w:rFonts w:ascii="宋体" w:hAnsi="宋体" w:cs="宋体" w:hint="eastAsia"/>
                <w:color w:val="000000"/>
                <w:kern w:val="0"/>
                <w:sz w:val="20"/>
                <w:szCs w:val="20"/>
              </w:rPr>
              <w:t>5</w:t>
            </w:r>
          </w:p>
        </w:tc>
        <w:tc>
          <w:tcPr>
            <w:tcW w:w="880" w:type="pct"/>
            <w:gridSpan w:val="2"/>
            <w:vMerge/>
            <w:vAlign w:val="center"/>
          </w:tcPr>
          <w:p w14:paraId="7A8576BE"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6D296383"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02D3560F" w14:textId="77777777" w:rsidTr="00304C4C">
        <w:trPr>
          <w:trHeight w:val="454"/>
          <w:jc w:val="center"/>
        </w:trPr>
        <w:tc>
          <w:tcPr>
            <w:tcW w:w="318" w:type="pct"/>
            <w:vMerge/>
            <w:vAlign w:val="center"/>
          </w:tcPr>
          <w:p w14:paraId="6C14916D"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6C1BEABF"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379211BF" w14:textId="28C4E200" w:rsidR="000E528A" w:rsidRPr="00BD361B" w:rsidRDefault="00B22D22" w:rsidP="00B22D2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便民惠企，服务保障能力不断提高</w:t>
            </w:r>
          </w:p>
        </w:tc>
        <w:tc>
          <w:tcPr>
            <w:tcW w:w="680" w:type="pct"/>
            <w:vAlign w:val="center"/>
          </w:tcPr>
          <w:p w14:paraId="79BF942A" w14:textId="241EDA5E" w:rsidR="00BD361B" w:rsidRPr="00BD361B" w:rsidRDefault="00B22D22"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显著</w:t>
            </w:r>
          </w:p>
        </w:tc>
        <w:tc>
          <w:tcPr>
            <w:tcW w:w="584" w:type="pct"/>
            <w:vAlign w:val="center"/>
          </w:tcPr>
          <w:p w14:paraId="4E7C993E" w14:textId="77777777" w:rsidR="00BD361B" w:rsidRDefault="00B22D22"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①</w:t>
            </w:r>
            <w:r w:rsidRPr="00B22D22">
              <w:rPr>
                <w:rFonts w:ascii="宋体" w:hAnsi="宋体" w:cs="宋体" w:hint="eastAsia"/>
                <w:color w:val="000000"/>
                <w:kern w:val="0"/>
                <w:sz w:val="20"/>
                <w:szCs w:val="20"/>
              </w:rPr>
              <w:t>建成一刻钟便民生活圈360个，全市覆盖率达42%</w:t>
            </w:r>
            <w:r>
              <w:rPr>
                <w:rFonts w:ascii="宋体" w:hAnsi="宋体" w:cs="宋体" w:hint="eastAsia"/>
                <w:color w:val="000000"/>
                <w:kern w:val="0"/>
                <w:sz w:val="20"/>
                <w:szCs w:val="20"/>
              </w:rPr>
              <w:t>；</w:t>
            </w:r>
          </w:p>
          <w:p w14:paraId="45A40FE9" w14:textId="789F4A6C" w:rsidR="00B22D22" w:rsidRPr="00BD361B" w:rsidRDefault="00B22D22"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②</w:t>
            </w:r>
            <w:r w:rsidR="00E22FEB">
              <w:rPr>
                <w:rFonts w:ascii="宋体" w:hAnsi="宋体" w:cs="宋体" w:hint="eastAsia"/>
                <w:color w:val="000000"/>
                <w:kern w:val="0"/>
                <w:sz w:val="20"/>
                <w:szCs w:val="20"/>
              </w:rPr>
              <w:t>开展</w:t>
            </w:r>
            <w:r w:rsidR="00E22FEB" w:rsidRPr="00E22FEB">
              <w:rPr>
                <w:rFonts w:ascii="宋体" w:hAnsi="宋体" w:cs="宋体" w:hint="eastAsia"/>
                <w:color w:val="000000"/>
                <w:kern w:val="0"/>
                <w:sz w:val="20"/>
                <w:szCs w:val="20"/>
              </w:rPr>
              <w:t>餐饮、网络零售、超市</w:t>
            </w:r>
            <w:r w:rsidR="00E22FEB" w:rsidRPr="00E22FEB">
              <w:rPr>
                <w:rFonts w:ascii="宋体" w:hAnsi="宋体" w:cs="宋体" w:hint="eastAsia"/>
                <w:color w:val="000000"/>
                <w:kern w:val="0"/>
                <w:sz w:val="20"/>
                <w:szCs w:val="20"/>
              </w:rPr>
              <w:lastRenderedPageBreak/>
              <w:t>（便利店）、美发美容、洗染等五个行业场景“6+4”一体化综合监管改革</w:t>
            </w:r>
            <w:r w:rsidR="00E22FEB">
              <w:rPr>
                <w:rFonts w:ascii="宋体" w:hAnsi="宋体" w:cs="宋体" w:hint="eastAsia"/>
                <w:color w:val="000000"/>
                <w:kern w:val="0"/>
                <w:sz w:val="20"/>
                <w:szCs w:val="20"/>
              </w:rPr>
              <w:t>。</w:t>
            </w:r>
          </w:p>
        </w:tc>
        <w:tc>
          <w:tcPr>
            <w:tcW w:w="253" w:type="pct"/>
            <w:vAlign w:val="center"/>
          </w:tcPr>
          <w:p w14:paraId="420332D7"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lastRenderedPageBreak/>
              <w:t>8</w:t>
            </w:r>
          </w:p>
        </w:tc>
        <w:tc>
          <w:tcPr>
            <w:tcW w:w="275" w:type="pct"/>
            <w:noWrap/>
            <w:vAlign w:val="center"/>
          </w:tcPr>
          <w:p w14:paraId="0FC229BD" w14:textId="0247EEDB" w:rsidR="00BD361B" w:rsidRPr="00BD361B" w:rsidRDefault="00680763"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880" w:type="pct"/>
            <w:gridSpan w:val="2"/>
            <w:vMerge/>
            <w:vAlign w:val="center"/>
          </w:tcPr>
          <w:p w14:paraId="26C80404"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624EC473" w14:textId="77777777" w:rsidR="00BD361B" w:rsidRPr="00BD361B" w:rsidRDefault="00BD361B" w:rsidP="00E847FB">
            <w:pPr>
              <w:widowControl/>
              <w:jc w:val="left"/>
              <w:rPr>
                <w:rFonts w:ascii="宋体" w:hAnsi="宋体" w:cs="宋体"/>
                <w:color w:val="000000"/>
                <w:kern w:val="0"/>
                <w:sz w:val="20"/>
                <w:szCs w:val="20"/>
              </w:rPr>
            </w:pPr>
          </w:p>
        </w:tc>
      </w:tr>
      <w:tr w:rsidR="00304C4C" w:rsidRPr="00BD361B" w14:paraId="6EF2EF89" w14:textId="77777777" w:rsidTr="00304C4C">
        <w:trPr>
          <w:trHeight w:val="454"/>
          <w:jc w:val="center"/>
        </w:trPr>
        <w:tc>
          <w:tcPr>
            <w:tcW w:w="318" w:type="pct"/>
            <w:vMerge/>
            <w:vAlign w:val="center"/>
          </w:tcPr>
          <w:p w14:paraId="00992E9B"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0F9DA9C9"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748E0E6C" w14:textId="047841F2" w:rsidR="00BD361B" w:rsidRPr="00BD361B" w:rsidRDefault="00304C4C" w:rsidP="00304C4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服务对象满意度</w:t>
            </w:r>
          </w:p>
        </w:tc>
        <w:tc>
          <w:tcPr>
            <w:tcW w:w="680" w:type="pct"/>
            <w:vAlign w:val="center"/>
          </w:tcPr>
          <w:p w14:paraId="1E239BC9" w14:textId="0748568F" w:rsidR="00BD361B" w:rsidRPr="00BD361B" w:rsidRDefault="000E528A" w:rsidP="000E528A">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优秀</w:t>
            </w:r>
          </w:p>
        </w:tc>
        <w:tc>
          <w:tcPr>
            <w:tcW w:w="584" w:type="pct"/>
            <w:vAlign w:val="center"/>
          </w:tcPr>
          <w:p w14:paraId="70DE4D09" w14:textId="0D190EB3" w:rsidR="00BD361B" w:rsidRPr="00BD361B" w:rsidRDefault="000E528A" w:rsidP="000E528A">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优秀</w:t>
            </w:r>
          </w:p>
        </w:tc>
        <w:tc>
          <w:tcPr>
            <w:tcW w:w="253" w:type="pct"/>
            <w:vAlign w:val="center"/>
          </w:tcPr>
          <w:p w14:paraId="1B3E3747" w14:textId="62ECC42B" w:rsidR="00BD361B" w:rsidRPr="00BD361B" w:rsidRDefault="00E22FE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275" w:type="pct"/>
            <w:noWrap/>
            <w:vAlign w:val="center"/>
          </w:tcPr>
          <w:p w14:paraId="3CDB4C93" w14:textId="2804B413" w:rsidR="00BD361B" w:rsidRPr="00BD361B" w:rsidRDefault="00F152AB"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w:t>
            </w:r>
          </w:p>
        </w:tc>
        <w:tc>
          <w:tcPr>
            <w:tcW w:w="880" w:type="pct"/>
            <w:gridSpan w:val="2"/>
            <w:vMerge/>
            <w:vAlign w:val="center"/>
          </w:tcPr>
          <w:p w14:paraId="44157C91" w14:textId="77777777" w:rsidR="00BD361B" w:rsidRPr="00BD361B" w:rsidRDefault="00BD361B" w:rsidP="00E847FB">
            <w:pPr>
              <w:widowControl/>
              <w:jc w:val="left"/>
              <w:rPr>
                <w:rFonts w:ascii="宋体" w:hAnsi="宋体" w:cs="宋体"/>
                <w:color w:val="000000"/>
                <w:kern w:val="0"/>
                <w:sz w:val="20"/>
                <w:szCs w:val="20"/>
              </w:rPr>
            </w:pPr>
          </w:p>
        </w:tc>
        <w:tc>
          <w:tcPr>
            <w:tcW w:w="1018" w:type="pct"/>
            <w:vMerge/>
            <w:vAlign w:val="center"/>
          </w:tcPr>
          <w:p w14:paraId="0758A65D" w14:textId="77777777" w:rsidR="00BD361B" w:rsidRPr="00BD361B" w:rsidRDefault="00BD361B" w:rsidP="00E847FB">
            <w:pPr>
              <w:widowControl/>
              <w:jc w:val="left"/>
              <w:rPr>
                <w:rFonts w:ascii="宋体" w:hAnsi="宋体" w:cs="宋体"/>
                <w:color w:val="000000"/>
                <w:kern w:val="0"/>
                <w:sz w:val="20"/>
                <w:szCs w:val="20"/>
              </w:rPr>
            </w:pPr>
          </w:p>
        </w:tc>
      </w:tr>
      <w:tr w:rsidR="00BD361B" w:rsidRPr="00BD361B" w14:paraId="365BEE12" w14:textId="77777777" w:rsidTr="00E847FB">
        <w:trPr>
          <w:trHeight w:val="454"/>
          <w:jc w:val="center"/>
        </w:trPr>
        <w:tc>
          <w:tcPr>
            <w:tcW w:w="5000" w:type="pct"/>
            <w:gridSpan w:val="10"/>
            <w:vAlign w:val="center"/>
          </w:tcPr>
          <w:p w14:paraId="78DC4BFC"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三</w:t>
            </w:r>
            <w:r w:rsidRPr="00BD361B">
              <w:rPr>
                <w:rFonts w:ascii="宋体" w:hAnsi="宋体" w:cs="宋体"/>
                <w:color w:val="000000"/>
                <w:kern w:val="0"/>
                <w:sz w:val="20"/>
                <w:szCs w:val="20"/>
              </w:rPr>
              <w:t>、</w:t>
            </w:r>
            <w:r w:rsidRPr="00BD361B">
              <w:rPr>
                <w:rFonts w:ascii="宋体" w:hAnsi="宋体" w:cs="宋体" w:hint="eastAsia"/>
                <w:color w:val="000000"/>
                <w:kern w:val="0"/>
                <w:sz w:val="20"/>
                <w:szCs w:val="20"/>
              </w:rPr>
              <w:t>预算管理情况（20分）</w:t>
            </w:r>
          </w:p>
        </w:tc>
      </w:tr>
      <w:tr w:rsidR="00304C4C" w:rsidRPr="00BD361B" w14:paraId="68686206" w14:textId="77777777" w:rsidTr="00304C4C">
        <w:trPr>
          <w:trHeight w:val="454"/>
          <w:jc w:val="center"/>
        </w:trPr>
        <w:tc>
          <w:tcPr>
            <w:tcW w:w="318" w:type="pct"/>
            <w:vAlign w:val="center"/>
          </w:tcPr>
          <w:p w14:paraId="7FC8F530"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一</w:t>
            </w:r>
            <w:r w:rsidRPr="00BD361B">
              <w:rPr>
                <w:rFonts w:ascii="宋体" w:hAnsi="宋体" w:cs="宋体"/>
                <w:color w:val="000000"/>
                <w:kern w:val="0"/>
                <w:sz w:val="20"/>
                <w:szCs w:val="20"/>
              </w:rPr>
              <w:t>级指标</w:t>
            </w:r>
          </w:p>
        </w:tc>
        <w:tc>
          <w:tcPr>
            <w:tcW w:w="370" w:type="pct"/>
            <w:vAlign w:val="center"/>
          </w:tcPr>
          <w:p w14:paraId="5B732BA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二</w:t>
            </w:r>
            <w:r w:rsidRPr="00BD361B">
              <w:rPr>
                <w:rFonts w:ascii="宋体" w:hAnsi="宋体" w:cs="宋体"/>
                <w:color w:val="000000"/>
                <w:kern w:val="0"/>
                <w:sz w:val="20"/>
                <w:szCs w:val="20"/>
              </w:rPr>
              <w:t>级指标</w:t>
            </w:r>
          </w:p>
        </w:tc>
        <w:tc>
          <w:tcPr>
            <w:tcW w:w="622" w:type="pct"/>
            <w:vAlign w:val="center"/>
          </w:tcPr>
          <w:p w14:paraId="6C5F3B6D"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三</w:t>
            </w:r>
            <w:r w:rsidRPr="00BD361B">
              <w:rPr>
                <w:rFonts w:ascii="宋体" w:hAnsi="宋体" w:cs="宋体"/>
                <w:color w:val="000000"/>
                <w:kern w:val="0"/>
                <w:sz w:val="20"/>
                <w:szCs w:val="20"/>
              </w:rPr>
              <w:t>级指标</w:t>
            </w:r>
          </w:p>
        </w:tc>
        <w:tc>
          <w:tcPr>
            <w:tcW w:w="680" w:type="pct"/>
            <w:vAlign w:val="center"/>
          </w:tcPr>
          <w:p w14:paraId="1C77AB8D"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指标</w:t>
            </w:r>
            <w:r w:rsidRPr="00BD361B">
              <w:rPr>
                <w:rFonts w:ascii="宋体" w:hAnsi="宋体" w:cs="宋体"/>
                <w:color w:val="000000"/>
                <w:kern w:val="0"/>
                <w:sz w:val="20"/>
                <w:szCs w:val="20"/>
              </w:rPr>
              <w:t>值</w:t>
            </w:r>
          </w:p>
        </w:tc>
        <w:tc>
          <w:tcPr>
            <w:tcW w:w="584" w:type="pct"/>
            <w:vAlign w:val="center"/>
          </w:tcPr>
          <w:p w14:paraId="35FD09E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完成</w:t>
            </w:r>
            <w:r w:rsidRPr="00BD361B">
              <w:rPr>
                <w:rFonts w:ascii="宋体" w:hAnsi="宋体" w:cs="宋体"/>
                <w:color w:val="000000"/>
                <w:kern w:val="0"/>
                <w:sz w:val="20"/>
                <w:szCs w:val="20"/>
              </w:rPr>
              <w:t>值</w:t>
            </w:r>
          </w:p>
        </w:tc>
        <w:tc>
          <w:tcPr>
            <w:tcW w:w="253" w:type="pct"/>
            <w:noWrap/>
            <w:vAlign w:val="center"/>
          </w:tcPr>
          <w:p w14:paraId="4770C56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分</w:t>
            </w:r>
            <w:r w:rsidRPr="00BD361B">
              <w:rPr>
                <w:rFonts w:ascii="宋体" w:hAnsi="宋体" w:cs="宋体"/>
                <w:color w:val="000000"/>
                <w:kern w:val="0"/>
                <w:sz w:val="20"/>
                <w:szCs w:val="20"/>
              </w:rPr>
              <w:t>值</w:t>
            </w:r>
          </w:p>
        </w:tc>
        <w:tc>
          <w:tcPr>
            <w:tcW w:w="275" w:type="pct"/>
            <w:noWrap/>
            <w:vAlign w:val="center"/>
          </w:tcPr>
          <w:p w14:paraId="4C527B0D"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得</w:t>
            </w:r>
            <w:r w:rsidRPr="00BD361B">
              <w:rPr>
                <w:rFonts w:ascii="宋体" w:hAnsi="宋体" w:cs="宋体"/>
                <w:color w:val="000000"/>
                <w:kern w:val="0"/>
                <w:sz w:val="20"/>
                <w:szCs w:val="20"/>
              </w:rPr>
              <w:t>分</w:t>
            </w:r>
          </w:p>
        </w:tc>
        <w:tc>
          <w:tcPr>
            <w:tcW w:w="880" w:type="pct"/>
            <w:gridSpan w:val="2"/>
            <w:vAlign w:val="center"/>
          </w:tcPr>
          <w:p w14:paraId="1347921E" w14:textId="77777777" w:rsidR="00BD361B" w:rsidRPr="00BD361B" w:rsidRDefault="00BD361B" w:rsidP="00E847FB">
            <w:pPr>
              <w:widowControl/>
              <w:jc w:val="center"/>
              <w:rPr>
                <w:rFonts w:ascii="宋体" w:hAnsi="宋体" w:cs="宋体"/>
                <w:b/>
                <w:bCs/>
                <w:color w:val="000000"/>
                <w:kern w:val="0"/>
                <w:sz w:val="20"/>
                <w:szCs w:val="20"/>
              </w:rPr>
            </w:pPr>
            <w:r w:rsidRPr="00BD361B">
              <w:rPr>
                <w:rFonts w:ascii="宋体" w:hAnsi="宋体" w:cs="宋体" w:hint="eastAsia"/>
                <w:bCs/>
                <w:color w:val="000000"/>
                <w:kern w:val="0"/>
                <w:sz w:val="20"/>
                <w:szCs w:val="20"/>
              </w:rPr>
              <w:t>指标</w:t>
            </w:r>
            <w:r w:rsidRPr="00BD361B">
              <w:rPr>
                <w:rFonts w:ascii="宋体" w:hAnsi="宋体" w:cs="宋体"/>
                <w:bCs/>
                <w:color w:val="000000"/>
                <w:kern w:val="0"/>
                <w:sz w:val="20"/>
                <w:szCs w:val="20"/>
              </w:rPr>
              <w:t>解释</w:t>
            </w:r>
          </w:p>
        </w:tc>
        <w:tc>
          <w:tcPr>
            <w:tcW w:w="1018" w:type="pct"/>
            <w:vAlign w:val="center"/>
          </w:tcPr>
          <w:p w14:paraId="3BBD4E0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评</w:t>
            </w:r>
            <w:r w:rsidRPr="00BD361B">
              <w:rPr>
                <w:rFonts w:ascii="宋体" w:hAnsi="宋体" w:cs="宋体"/>
                <w:color w:val="000000"/>
                <w:kern w:val="0"/>
                <w:sz w:val="20"/>
                <w:szCs w:val="20"/>
              </w:rPr>
              <w:t>分标准</w:t>
            </w:r>
          </w:p>
        </w:tc>
      </w:tr>
      <w:tr w:rsidR="00304C4C" w:rsidRPr="00BD361B" w14:paraId="308BA41A" w14:textId="77777777" w:rsidTr="00304C4C">
        <w:trPr>
          <w:trHeight w:val="454"/>
          <w:jc w:val="center"/>
        </w:trPr>
        <w:tc>
          <w:tcPr>
            <w:tcW w:w="318" w:type="pct"/>
            <w:vMerge w:val="restart"/>
            <w:vAlign w:val="center"/>
          </w:tcPr>
          <w:p w14:paraId="07857273"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预算管理情况（20）</w:t>
            </w:r>
          </w:p>
        </w:tc>
        <w:tc>
          <w:tcPr>
            <w:tcW w:w="370" w:type="pct"/>
            <w:vMerge w:val="restart"/>
            <w:vAlign w:val="center"/>
          </w:tcPr>
          <w:p w14:paraId="25845954"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财务管理（4）</w:t>
            </w:r>
          </w:p>
        </w:tc>
        <w:tc>
          <w:tcPr>
            <w:tcW w:w="622" w:type="pct"/>
            <w:vAlign w:val="center"/>
          </w:tcPr>
          <w:p w14:paraId="6163C427"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财务管理制度健全性</w:t>
            </w:r>
          </w:p>
        </w:tc>
        <w:tc>
          <w:tcPr>
            <w:tcW w:w="680" w:type="pct"/>
            <w:vAlign w:val="center"/>
          </w:tcPr>
          <w:p w14:paraId="4B6907CD"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健全</w:t>
            </w:r>
          </w:p>
        </w:tc>
        <w:tc>
          <w:tcPr>
            <w:tcW w:w="584" w:type="pct"/>
            <w:vAlign w:val="center"/>
          </w:tcPr>
          <w:p w14:paraId="175D1213"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达成年度指标</w:t>
            </w:r>
          </w:p>
        </w:tc>
        <w:tc>
          <w:tcPr>
            <w:tcW w:w="253" w:type="pct"/>
            <w:noWrap/>
            <w:vAlign w:val="center"/>
          </w:tcPr>
          <w:p w14:paraId="688B2B22"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w:t>
            </w:r>
          </w:p>
        </w:tc>
        <w:tc>
          <w:tcPr>
            <w:tcW w:w="275" w:type="pct"/>
            <w:noWrap/>
            <w:vAlign w:val="center"/>
          </w:tcPr>
          <w:p w14:paraId="3E02951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w:t>
            </w:r>
          </w:p>
        </w:tc>
        <w:tc>
          <w:tcPr>
            <w:tcW w:w="880" w:type="pct"/>
            <w:gridSpan w:val="2"/>
            <w:vAlign w:val="center"/>
          </w:tcPr>
          <w:p w14:paraId="041E4FC0"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财务管理制度健全性:</w:t>
            </w:r>
            <w:r w:rsidRPr="00BD361B">
              <w:rPr>
                <w:rFonts w:ascii="宋体" w:hAnsi="宋体" w:cs="宋体" w:hint="eastAsia"/>
                <w:color w:val="000000"/>
                <w:kern w:val="0"/>
                <w:sz w:val="20"/>
                <w:szCs w:val="20"/>
              </w:rPr>
              <w:t>部门（单位）为加强财务管理、规范财务行为而制定的管理制度。</w:t>
            </w:r>
          </w:p>
        </w:tc>
        <w:tc>
          <w:tcPr>
            <w:tcW w:w="1018" w:type="pct"/>
            <w:vAlign w:val="center"/>
          </w:tcPr>
          <w:p w14:paraId="19E63BAA"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①预算资金管理办法、绩效跟踪管理办法、资产管理办法等各项制度是否健全；②部门内部财务管理制度是否完整、合规；③会计核算制度是否完整、合规。每有一项不合格扣0.5分，扣完为止。</w:t>
            </w:r>
          </w:p>
        </w:tc>
      </w:tr>
      <w:tr w:rsidR="00304C4C" w:rsidRPr="00BD361B" w14:paraId="255B7DB4" w14:textId="77777777" w:rsidTr="00304C4C">
        <w:trPr>
          <w:trHeight w:val="454"/>
          <w:jc w:val="center"/>
        </w:trPr>
        <w:tc>
          <w:tcPr>
            <w:tcW w:w="318" w:type="pct"/>
            <w:vMerge/>
            <w:vAlign w:val="center"/>
          </w:tcPr>
          <w:p w14:paraId="78234DE3"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7D6FF280"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4AB70E3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资金使用合规性和安全性</w:t>
            </w:r>
          </w:p>
        </w:tc>
        <w:tc>
          <w:tcPr>
            <w:tcW w:w="680" w:type="pct"/>
            <w:vAlign w:val="center"/>
          </w:tcPr>
          <w:p w14:paraId="6BA9153E"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符合相关要求</w:t>
            </w:r>
          </w:p>
        </w:tc>
        <w:tc>
          <w:tcPr>
            <w:tcW w:w="584" w:type="pct"/>
            <w:vAlign w:val="center"/>
          </w:tcPr>
          <w:p w14:paraId="50A0CD6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达成年度指标</w:t>
            </w:r>
          </w:p>
        </w:tc>
        <w:tc>
          <w:tcPr>
            <w:tcW w:w="253" w:type="pct"/>
            <w:noWrap/>
            <w:vAlign w:val="center"/>
          </w:tcPr>
          <w:p w14:paraId="43F3E4C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2</w:t>
            </w:r>
          </w:p>
        </w:tc>
        <w:tc>
          <w:tcPr>
            <w:tcW w:w="275" w:type="pct"/>
            <w:noWrap/>
            <w:vAlign w:val="center"/>
          </w:tcPr>
          <w:p w14:paraId="7E9C2DE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2</w:t>
            </w:r>
          </w:p>
        </w:tc>
        <w:tc>
          <w:tcPr>
            <w:tcW w:w="880" w:type="pct"/>
            <w:gridSpan w:val="2"/>
            <w:vAlign w:val="center"/>
          </w:tcPr>
          <w:p w14:paraId="489B17E5"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资金使用合规性和安全性:</w:t>
            </w:r>
            <w:r w:rsidRPr="00BD361B">
              <w:rPr>
                <w:rFonts w:ascii="宋体" w:hAnsi="宋体" w:cs="宋体" w:hint="eastAsia"/>
                <w:color w:val="000000"/>
                <w:kern w:val="0"/>
                <w:sz w:val="20"/>
                <w:szCs w:val="20"/>
              </w:rPr>
              <w:t>部门（单位）使用预算资金是否符合相关的预算财务管理制度的规定，是否符合相关规定的开支范围，用以反映考核部门（单位）预算资金的规范运行和安全运行情况。</w:t>
            </w:r>
          </w:p>
        </w:tc>
        <w:tc>
          <w:tcPr>
            <w:tcW w:w="1018" w:type="pct"/>
            <w:vAlign w:val="center"/>
          </w:tcPr>
          <w:p w14:paraId="00F07F97"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w:t>
            </w:r>
            <w:r w:rsidRPr="00BD361B">
              <w:rPr>
                <w:rFonts w:ascii="宋体" w:hAnsi="宋体" w:cs="宋体" w:hint="eastAsia"/>
                <w:color w:val="000000"/>
                <w:kern w:val="0"/>
                <w:sz w:val="20"/>
                <w:szCs w:val="20"/>
              </w:rPr>
              <w:lastRenderedPageBreak/>
              <w:t>的程序和流程；⑦资金使用是否符合公务卡结算相关制度和规定。每有一项不合格扣0.5分，扣完为止。</w:t>
            </w:r>
          </w:p>
        </w:tc>
      </w:tr>
      <w:tr w:rsidR="00304C4C" w:rsidRPr="00BD361B" w14:paraId="1D4E701F" w14:textId="77777777" w:rsidTr="00304C4C">
        <w:trPr>
          <w:trHeight w:val="454"/>
          <w:jc w:val="center"/>
        </w:trPr>
        <w:tc>
          <w:tcPr>
            <w:tcW w:w="318" w:type="pct"/>
            <w:vMerge/>
            <w:vAlign w:val="center"/>
          </w:tcPr>
          <w:p w14:paraId="41F21E8F" w14:textId="77777777" w:rsidR="00BD361B" w:rsidRPr="00BD361B" w:rsidRDefault="00BD361B" w:rsidP="00E847FB">
            <w:pPr>
              <w:widowControl/>
              <w:jc w:val="left"/>
              <w:rPr>
                <w:rFonts w:ascii="宋体" w:hAnsi="宋体" w:cs="宋体"/>
                <w:color w:val="000000"/>
                <w:kern w:val="0"/>
                <w:sz w:val="20"/>
                <w:szCs w:val="20"/>
              </w:rPr>
            </w:pPr>
          </w:p>
        </w:tc>
        <w:tc>
          <w:tcPr>
            <w:tcW w:w="370" w:type="pct"/>
            <w:vMerge/>
            <w:vAlign w:val="center"/>
          </w:tcPr>
          <w:p w14:paraId="008B33D3" w14:textId="77777777" w:rsidR="00BD361B" w:rsidRPr="00BD361B" w:rsidRDefault="00BD361B" w:rsidP="00E847FB">
            <w:pPr>
              <w:widowControl/>
              <w:jc w:val="left"/>
              <w:rPr>
                <w:rFonts w:ascii="宋体" w:hAnsi="宋体" w:cs="宋体"/>
                <w:color w:val="000000"/>
                <w:kern w:val="0"/>
                <w:sz w:val="20"/>
                <w:szCs w:val="20"/>
              </w:rPr>
            </w:pPr>
          </w:p>
        </w:tc>
        <w:tc>
          <w:tcPr>
            <w:tcW w:w="622" w:type="pct"/>
            <w:vAlign w:val="center"/>
          </w:tcPr>
          <w:p w14:paraId="774FD59A"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会计基础信息完善性</w:t>
            </w:r>
          </w:p>
        </w:tc>
        <w:tc>
          <w:tcPr>
            <w:tcW w:w="680" w:type="pct"/>
            <w:vAlign w:val="center"/>
          </w:tcPr>
          <w:p w14:paraId="4CC27EBD"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真实、完整、准确</w:t>
            </w:r>
          </w:p>
        </w:tc>
        <w:tc>
          <w:tcPr>
            <w:tcW w:w="584" w:type="pct"/>
            <w:vAlign w:val="center"/>
          </w:tcPr>
          <w:p w14:paraId="5C84FF89"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达成年度指标</w:t>
            </w:r>
          </w:p>
        </w:tc>
        <w:tc>
          <w:tcPr>
            <w:tcW w:w="253" w:type="pct"/>
            <w:noWrap/>
            <w:vAlign w:val="center"/>
          </w:tcPr>
          <w:p w14:paraId="754C13A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w:t>
            </w:r>
          </w:p>
        </w:tc>
        <w:tc>
          <w:tcPr>
            <w:tcW w:w="275" w:type="pct"/>
            <w:noWrap/>
            <w:vAlign w:val="center"/>
          </w:tcPr>
          <w:p w14:paraId="029B6C5A"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w:t>
            </w:r>
          </w:p>
        </w:tc>
        <w:tc>
          <w:tcPr>
            <w:tcW w:w="880" w:type="pct"/>
            <w:gridSpan w:val="2"/>
            <w:vAlign w:val="center"/>
          </w:tcPr>
          <w:p w14:paraId="1F987B75"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会计基础信息完善性:</w:t>
            </w:r>
            <w:r w:rsidRPr="00BD361B">
              <w:rPr>
                <w:rFonts w:ascii="宋体" w:hAnsi="宋体" w:cs="宋体" w:hint="eastAsia"/>
                <w:color w:val="000000"/>
                <w:kern w:val="0"/>
                <w:sz w:val="20"/>
                <w:szCs w:val="20"/>
              </w:rPr>
              <w:t>部门（单位）会计基础信息情况。</w:t>
            </w:r>
          </w:p>
        </w:tc>
        <w:tc>
          <w:tcPr>
            <w:tcW w:w="1018" w:type="pct"/>
            <w:vAlign w:val="center"/>
          </w:tcPr>
          <w:p w14:paraId="37C50B47"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①基础数据信息和会计信息资料是否真实；②基础数据信息和会计信息资料是否完整；③基础数据信息和会计信息资料是否准确。每有一项不合格扣0.5分，扣完为止。</w:t>
            </w:r>
          </w:p>
        </w:tc>
      </w:tr>
      <w:tr w:rsidR="00304C4C" w:rsidRPr="00BD361B" w14:paraId="62F11BF1" w14:textId="77777777" w:rsidTr="00304C4C">
        <w:trPr>
          <w:trHeight w:val="454"/>
          <w:jc w:val="center"/>
        </w:trPr>
        <w:tc>
          <w:tcPr>
            <w:tcW w:w="318" w:type="pct"/>
            <w:vMerge/>
            <w:vAlign w:val="center"/>
          </w:tcPr>
          <w:p w14:paraId="65301A1E"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0166EE5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资产管理（4）</w:t>
            </w:r>
          </w:p>
        </w:tc>
        <w:tc>
          <w:tcPr>
            <w:tcW w:w="622" w:type="pct"/>
            <w:vAlign w:val="center"/>
          </w:tcPr>
          <w:p w14:paraId="64D1E8E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资产管理规范性</w:t>
            </w:r>
          </w:p>
        </w:tc>
        <w:tc>
          <w:tcPr>
            <w:tcW w:w="680" w:type="pct"/>
            <w:vAlign w:val="center"/>
          </w:tcPr>
          <w:p w14:paraId="63E0BE5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规范</w:t>
            </w:r>
          </w:p>
        </w:tc>
        <w:tc>
          <w:tcPr>
            <w:tcW w:w="584" w:type="pct"/>
            <w:vAlign w:val="center"/>
          </w:tcPr>
          <w:p w14:paraId="3FF2B512"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达成年度指标</w:t>
            </w:r>
          </w:p>
        </w:tc>
        <w:tc>
          <w:tcPr>
            <w:tcW w:w="253" w:type="pct"/>
            <w:vAlign w:val="center"/>
          </w:tcPr>
          <w:p w14:paraId="5D19467C"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275" w:type="pct"/>
            <w:vAlign w:val="center"/>
          </w:tcPr>
          <w:p w14:paraId="2DB1DFC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880" w:type="pct"/>
            <w:gridSpan w:val="2"/>
            <w:vAlign w:val="center"/>
          </w:tcPr>
          <w:p w14:paraId="1BE3DD18"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资产管理规范性:</w:t>
            </w:r>
            <w:r w:rsidRPr="00BD361B">
              <w:rPr>
                <w:rFonts w:ascii="宋体" w:hAnsi="宋体" w:cs="宋体" w:hint="eastAsia"/>
                <w:color w:val="000000"/>
                <w:kern w:val="0"/>
                <w:sz w:val="20"/>
                <w:szCs w:val="20"/>
              </w:rPr>
              <w:t>部门（单位）的资产是否保持安全完整，资产配置是否合理，资产使用和资产处理是否规范，用以反映和考核部门（单位）资产管理的整体水平。</w:t>
            </w:r>
          </w:p>
        </w:tc>
        <w:tc>
          <w:tcPr>
            <w:tcW w:w="1018" w:type="pct"/>
            <w:vAlign w:val="center"/>
          </w:tcPr>
          <w:p w14:paraId="0FA5B3D8"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304C4C" w:rsidRPr="00BD361B" w14:paraId="39EA2457" w14:textId="77777777" w:rsidTr="00304C4C">
        <w:trPr>
          <w:trHeight w:val="454"/>
          <w:jc w:val="center"/>
        </w:trPr>
        <w:tc>
          <w:tcPr>
            <w:tcW w:w="318" w:type="pct"/>
            <w:vMerge/>
            <w:vAlign w:val="center"/>
          </w:tcPr>
          <w:p w14:paraId="56C9C869"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161A5883"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绩效管理（4）</w:t>
            </w:r>
          </w:p>
        </w:tc>
        <w:tc>
          <w:tcPr>
            <w:tcW w:w="622" w:type="pct"/>
            <w:vAlign w:val="center"/>
          </w:tcPr>
          <w:p w14:paraId="0BC2507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绩效管理情况</w:t>
            </w:r>
          </w:p>
        </w:tc>
        <w:tc>
          <w:tcPr>
            <w:tcW w:w="680" w:type="pct"/>
            <w:vAlign w:val="center"/>
          </w:tcPr>
          <w:p w14:paraId="3894B107"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符合相关要求</w:t>
            </w:r>
          </w:p>
        </w:tc>
        <w:tc>
          <w:tcPr>
            <w:tcW w:w="584" w:type="pct"/>
            <w:vAlign w:val="center"/>
          </w:tcPr>
          <w:p w14:paraId="3B58394D" w14:textId="310CA493" w:rsidR="00BD361B" w:rsidRPr="00BD361B" w:rsidRDefault="00BD361B" w:rsidP="00304C4C">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按要求开展了各项绩效管理工作，但绩效监控仍需加强</w:t>
            </w:r>
          </w:p>
        </w:tc>
        <w:tc>
          <w:tcPr>
            <w:tcW w:w="253" w:type="pct"/>
            <w:vAlign w:val="center"/>
          </w:tcPr>
          <w:p w14:paraId="429B1E0F"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275" w:type="pct"/>
            <w:vAlign w:val="center"/>
          </w:tcPr>
          <w:p w14:paraId="53DCEC2E" w14:textId="3F142443" w:rsidR="00BD361B" w:rsidRPr="00BD361B" w:rsidRDefault="00304C4C" w:rsidP="00E847FB">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w:t>
            </w:r>
          </w:p>
        </w:tc>
        <w:tc>
          <w:tcPr>
            <w:tcW w:w="880" w:type="pct"/>
            <w:gridSpan w:val="2"/>
            <w:vAlign w:val="center"/>
          </w:tcPr>
          <w:p w14:paraId="5D5D8C88"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b/>
                <w:bCs/>
                <w:color w:val="000000"/>
                <w:kern w:val="0"/>
                <w:sz w:val="20"/>
                <w:szCs w:val="20"/>
              </w:rPr>
              <w:t>绩效管理情况:</w:t>
            </w:r>
            <w:r w:rsidRPr="00BD361B">
              <w:rPr>
                <w:rFonts w:ascii="宋体" w:hAnsi="宋体" w:cs="宋体" w:hint="eastAsia"/>
                <w:color w:val="000000"/>
                <w:kern w:val="0"/>
                <w:sz w:val="20"/>
                <w:szCs w:val="20"/>
              </w:rPr>
              <w:t>考核部门（单位）在绩效管理信息的汇总和应用情况。</w:t>
            </w:r>
          </w:p>
        </w:tc>
        <w:tc>
          <w:tcPr>
            <w:tcW w:w="1018" w:type="pct"/>
            <w:vAlign w:val="center"/>
          </w:tcPr>
          <w:p w14:paraId="68E525DB"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①部门（单位）是否及时对绩效信息进行汇总分析整理；②部门（单位）是否对绩效目标</w:t>
            </w:r>
            <w:r w:rsidRPr="00BD361B">
              <w:rPr>
                <w:rFonts w:ascii="宋体" w:hAnsi="宋体" w:cs="宋体" w:hint="eastAsia"/>
                <w:color w:val="000000"/>
                <w:kern w:val="0"/>
                <w:sz w:val="20"/>
                <w:szCs w:val="20"/>
              </w:rPr>
              <w:lastRenderedPageBreak/>
              <w:t>偏离情况及时进行矫正。每有一项不合格扣2分。</w:t>
            </w:r>
          </w:p>
        </w:tc>
      </w:tr>
      <w:tr w:rsidR="00BD361B" w:rsidRPr="00BD361B" w14:paraId="219CCA0F" w14:textId="77777777" w:rsidTr="00304C4C">
        <w:trPr>
          <w:trHeight w:val="454"/>
          <w:jc w:val="center"/>
        </w:trPr>
        <w:tc>
          <w:tcPr>
            <w:tcW w:w="318" w:type="pct"/>
            <w:vMerge/>
            <w:vAlign w:val="center"/>
          </w:tcPr>
          <w:p w14:paraId="6680F904"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7CDDFF5E"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 xml:space="preserve">指标　</w:t>
            </w:r>
          </w:p>
        </w:tc>
        <w:tc>
          <w:tcPr>
            <w:tcW w:w="1302" w:type="pct"/>
            <w:gridSpan w:val="2"/>
            <w:vAlign w:val="center"/>
          </w:tcPr>
          <w:p w14:paraId="6B9AAF15" w14:textId="0879D9E2"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202</w:t>
            </w:r>
            <w:r w:rsidR="00304C4C">
              <w:rPr>
                <w:rFonts w:ascii="宋体" w:hAnsi="宋体" w:cs="宋体" w:hint="eastAsia"/>
                <w:color w:val="000000"/>
                <w:kern w:val="0"/>
                <w:sz w:val="20"/>
                <w:szCs w:val="20"/>
              </w:rPr>
              <w:t>2</w:t>
            </w:r>
            <w:r w:rsidRPr="00BD361B">
              <w:rPr>
                <w:rFonts w:ascii="宋体" w:hAnsi="宋体" w:cs="宋体" w:hint="eastAsia"/>
                <w:color w:val="000000"/>
                <w:kern w:val="0"/>
                <w:sz w:val="20"/>
                <w:szCs w:val="20"/>
              </w:rPr>
              <w:t>年</w:t>
            </w:r>
          </w:p>
        </w:tc>
        <w:tc>
          <w:tcPr>
            <w:tcW w:w="584" w:type="pct"/>
            <w:vAlign w:val="center"/>
          </w:tcPr>
          <w:p w14:paraId="283BB53D" w14:textId="13B738E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202</w:t>
            </w:r>
            <w:r w:rsidR="00304C4C">
              <w:rPr>
                <w:rFonts w:ascii="宋体" w:hAnsi="宋体" w:cs="宋体" w:hint="eastAsia"/>
                <w:color w:val="000000"/>
                <w:kern w:val="0"/>
                <w:sz w:val="20"/>
                <w:szCs w:val="20"/>
              </w:rPr>
              <w:t>3</w:t>
            </w:r>
            <w:r w:rsidRPr="00BD361B">
              <w:rPr>
                <w:rFonts w:ascii="宋体" w:hAnsi="宋体" w:cs="宋体" w:hint="eastAsia"/>
                <w:color w:val="000000"/>
                <w:kern w:val="0"/>
                <w:sz w:val="20"/>
                <w:szCs w:val="20"/>
              </w:rPr>
              <w:t>年</w:t>
            </w:r>
          </w:p>
        </w:tc>
        <w:tc>
          <w:tcPr>
            <w:tcW w:w="253" w:type="pct"/>
            <w:vAlign w:val="center"/>
          </w:tcPr>
          <w:p w14:paraId="15A49B5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分值</w:t>
            </w:r>
          </w:p>
        </w:tc>
        <w:tc>
          <w:tcPr>
            <w:tcW w:w="278" w:type="pct"/>
            <w:gridSpan w:val="2"/>
            <w:vAlign w:val="center"/>
          </w:tcPr>
          <w:p w14:paraId="66E7F23B"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得分</w:t>
            </w:r>
          </w:p>
        </w:tc>
        <w:tc>
          <w:tcPr>
            <w:tcW w:w="877" w:type="pct"/>
            <w:vAlign w:val="center"/>
          </w:tcPr>
          <w:p w14:paraId="6B449FEA"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bCs/>
                <w:color w:val="000000"/>
                <w:kern w:val="0"/>
                <w:sz w:val="20"/>
                <w:szCs w:val="20"/>
              </w:rPr>
              <w:t>指标</w:t>
            </w:r>
            <w:r w:rsidRPr="00BD361B">
              <w:rPr>
                <w:rFonts w:ascii="宋体" w:hAnsi="宋体" w:cs="宋体"/>
                <w:bCs/>
                <w:color w:val="000000"/>
                <w:kern w:val="0"/>
                <w:sz w:val="20"/>
                <w:szCs w:val="20"/>
              </w:rPr>
              <w:t>解释</w:t>
            </w:r>
          </w:p>
        </w:tc>
        <w:tc>
          <w:tcPr>
            <w:tcW w:w="1018" w:type="pct"/>
            <w:vAlign w:val="center"/>
          </w:tcPr>
          <w:p w14:paraId="42B7D615" w14:textId="77777777" w:rsidR="00BD361B" w:rsidRPr="00BD361B" w:rsidRDefault="00BD361B" w:rsidP="00E847FB">
            <w:pPr>
              <w:widowControl/>
              <w:jc w:val="center"/>
              <w:rPr>
                <w:rFonts w:ascii="宋体" w:hAnsi="宋体"/>
                <w:kern w:val="0"/>
                <w:sz w:val="20"/>
                <w:szCs w:val="20"/>
              </w:rPr>
            </w:pPr>
            <w:r w:rsidRPr="00BD361B">
              <w:rPr>
                <w:rFonts w:ascii="宋体" w:hAnsi="宋体" w:cs="宋体" w:hint="eastAsia"/>
                <w:color w:val="000000"/>
                <w:kern w:val="0"/>
                <w:sz w:val="20"/>
                <w:szCs w:val="20"/>
              </w:rPr>
              <w:t>评</w:t>
            </w:r>
            <w:r w:rsidRPr="00BD361B">
              <w:rPr>
                <w:rFonts w:ascii="宋体" w:hAnsi="宋体" w:cs="宋体"/>
                <w:color w:val="000000"/>
                <w:kern w:val="0"/>
                <w:sz w:val="20"/>
                <w:szCs w:val="20"/>
              </w:rPr>
              <w:t>分标准</w:t>
            </w:r>
          </w:p>
        </w:tc>
      </w:tr>
      <w:tr w:rsidR="00BD361B" w:rsidRPr="00BD361B" w14:paraId="268C4824" w14:textId="77777777" w:rsidTr="00304C4C">
        <w:trPr>
          <w:trHeight w:val="454"/>
          <w:jc w:val="center"/>
        </w:trPr>
        <w:tc>
          <w:tcPr>
            <w:tcW w:w="318" w:type="pct"/>
            <w:vMerge/>
            <w:vAlign w:val="center"/>
          </w:tcPr>
          <w:p w14:paraId="1700608B"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048465BA" w14:textId="77777777" w:rsidR="00BD361B" w:rsidRPr="00BD361B" w:rsidRDefault="00BD361B" w:rsidP="00304C4C">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结转结余率（4）</w:t>
            </w:r>
          </w:p>
        </w:tc>
        <w:tc>
          <w:tcPr>
            <w:tcW w:w="1302" w:type="pct"/>
            <w:gridSpan w:val="2"/>
            <w:vAlign w:val="center"/>
          </w:tcPr>
          <w:p w14:paraId="663F5102" w14:textId="2A7AC28A" w:rsidR="00BD361B" w:rsidRPr="00BD361B" w:rsidRDefault="00304C4C" w:rsidP="00E847FB">
            <w:pPr>
              <w:widowControl/>
              <w:jc w:val="center"/>
              <w:rPr>
                <w:rFonts w:ascii="宋体" w:hAnsi="宋体" w:cs="宋体"/>
                <w:color w:val="000000"/>
                <w:kern w:val="0"/>
                <w:sz w:val="20"/>
                <w:szCs w:val="20"/>
              </w:rPr>
            </w:pPr>
            <w:r w:rsidRPr="00304C4C">
              <w:rPr>
                <w:rFonts w:ascii="宋体" w:hAnsi="宋体" w:cs="宋体"/>
                <w:color w:val="000000"/>
                <w:kern w:val="0"/>
                <w:sz w:val="20"/>
                <w:szCs w:val="20"/>
              </w:rPr>
              <w:t>13.82%</w:t>
            </w:r>
          </w:p>
        </w:tc>
        <w:tc>
          <w:tcPr>
            <w:tcW w:w="584" w:type="pct"/>
            <w:vAlign w:val="center"/>
          </w:tcPr>
          <w:p w14:paraId="26139BA9" w14:textId="0AD02D8F" w:rsidR="00BD361B" w:rsidRPr="00BD361B" w:rsidRDefault="00304C4C" w:rsidP="00E847FB">
            <w:pPr>
              <w:widowControl/>
              <w:jc w:val="center"/>
              <w:rPr>
                <w:rFonts w:ascii="宋体" w:hAnsi="宋体" w:cs="宋体"/>
                <w:color w:val="000000"/>
                <w:kern w:val="0"/>
                <w:sz w:val="20"/>
                <w:szCs w:val="20"/>
              </w:rPr>
            </w:pPr>
            <w:r w:rsidRPr="00304C4C">
              <w:rPr>
                <w:rFonts w:ascii="宋体" w:hAnsi="宋体" w:cs="宋体"/>
                <w:color w:val="000000"/>
                <w:kern w:val="0"/>
                <w:sz w:val="20"/>
                <w:szCs w:val="20"/>
              </w:rPr>
              <w:t>11.51%</w:t>
            </w:r>
          </w:p>
        </w:tc>
        <w:tc>
          <w:tcPr>
            <w:tcW w:w="253" w:type="pct"/>
            <w:vAlign w:val="center"/>
          </w:tcPr>
          <w:p w14:paraId="5947656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278" w:type="pct"/>
            <w:gridSpan w:val="2"/>
            <w:vAlign w:val="center"/>
          </w:tcPr>
          <w:p w14:paraId="230922EA" w14:textId="01B62878" w:rsidR="00BD361B" w:rsidRPr="00BD361B" w:rsidRDefault="00304C4C"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877" w:type="pct"/>
            <w:vAlign w:val="center"/>
          </w:tcPr>
          <w:p w14:paraId="308D3B55"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结转结余率=结转结余总额/支出预算数×100%。</w:t>
            </w:r>
            <w:r w:rsidRPr="00BD361B">
              <w:rPr>
                <w:rFonts w:ascii="宋体" w:hAnsi="宋体" w:cs="宋体" w:hint="eastAsia"/>
                <w:color w:val="000000"/>
                <w:kern w:val="0"/>
                <w:sz w:val="20"/>
                <w:szCs w:val="20"/>
              </w:rPr>
              <w:br/>
              <w:t>结转结余总额：部门（单位）本年度的结转资金与结余资金之和。</w:t>
            </w:r>
          </w:p>
        </w:tc>
        <w:tc>
          <w:tcPr>
            <w:tcW w:w="1018" w:type="pct"/>
            <w:vAlign w:val="center"/>
          </w:tcPr>
          <w:p w14:paraId="3529FAEE"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BD361B" w:rsidRPr="00BD361B" w14:paraId="6EAB3A6B" w14:textId="77777777" w:rsidTr="00304C4C">
        <w:trPr>
          <w:trHeight w:val="454"/>
          <w:jc w:val="center"/>
        </w:trPr>
        <w:tc>
          <w:tcPr>
            <w:tcW w:w="318" w:type="pct"/>
            <w:vMerge/>
            <w:vAlign w:val="center"/>
          </w:tcPr>
          <w:p w14:paraId="6EB85216" w14:textId="77777777" w:rsidR="00BD361B" w:rsidRPr="00BD361B" w:rsidRDefault="00BD361B" w:rsidP="00E847FB">
            <w:pPr>
              <w:widowControl/>
              <w:jc w:val="left"/>
              <w:rPr>
                <w:rFonts w:ascii="宋体" w:hAnsi="宋体" w:cs="宋体"/>
                <w:color w:val="000000"/>
                <w:kern w:val="0"/>
                <w:sz w:val="20"/>
                <w:szCs w:val="20"/>
              </w:rPr>
            </w:pPr>
          </w:p>
        </w:tc>
        <w:tc>
          <w:tcPr>
            <w:tcW w:w="370" w:type="pct"/>
            <w:vAlign w:val="center"/>
          </w:tcPr>
          <w:p w14:paraId="3031FAFF" w14:textId="77777777" w:rsidR="00BD361B" w:rsidRPr="00BD361B" w:rsidRDefault="00BD361B" w:rsidP="00304C4C">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部门预决算差异率（4）</w:t>
            </w:r>
          </w:p>
        </w:tc>
        <w:tc>
          <w:tcPr>
            <w:tcW w:w="1302" w:type="pct"/>
            <w:gridSpan w:val="2"/>
            <w:vAlign w:val="center"/>
          </w:tcPr>
          <w:p w14:paraId="0876DCC9"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w:t>
            </w:r>
          </w:p>
        </w:tc>
        <w:tc>
          <w:tcPr>
            <w:tcW w:w="584" w:type="pct"/>
            <w:vAlign w:val="center"/>
          </w:tcPr>
          <w:p w14:paraId="5300BDD2" w14:textId="79A13FF4" w:rsidR="00BD361B" w:rsidRPr="00BD361B" w:rsidRDefault="00304C4C" w:rsidP="00E847FB">
            <w:pPr>
              <w:widowControl/>
              <w:jc w:val="center"/>
              <w:rPr>
                <w:rFonts w:ascii="宋体" w:hAnsi="宋体" w:cs="宋体"/>
                <w:color w:val="000000"/>
                <w:kern w:val="0"/>
                <w:sz w:val="20"/>
                <w:szCs w:val="20"/>
              </w:rPr>
            </w:pPr>
            <w:r>
              <w:rPr>
                <w:rFonts w:ascii="宋体" w:hAnsi="宋体" w:cs="宋体" w:hint="eastAsia"/>
                <w:color w:val="000000"/>
                <w:kern w:val="0"/>
                <w:sz w:val="20"/>
                <w:szCs w:val="20"/>
              </w:rPr>
              <w:t>26.26</w:t>
            </w:r>
            <w:r w:rsidR="00BD361B" w:rsidRPr="00BD361B">
              <w:rPr>
                <w:rFonts w:ascii="宋体" w:hAnsi="宋体" w:cs="宋体"/>
                <w:color w:val="000000"/>
                <w:kern w:val="0"/>
                <w:sz w:val="20"/>
                <w:szCs w:val="20"/>
              </w:rPr>
              <w:t>%</w:t>
            </w:r>
          </w:p>
        </w:tc>
        <w:tc>
          <w:tcPr>
            <w:tcW w:w="253" w:type="pct"/>
            <w:vAlign w:val="center"/>
          </w:tcPr>
          <w:p w14:paraId="5E7F00F9"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278" w:type="pct"/>
            <w:gridSpan w:val="2"/>
            <w:vAlign w:val="center"/>
          </w:tcPr>
          <w:p w14:paraId="49552893"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4</w:t>
            </w:r>
          </w:p>
        </w:tc>
        <w:tc>
          <w:tcPr>
            <w:tcW w:w="877" w:type="pct"/>
            <w:vAlign w:val="center"/>
          </w:tcPr>
          <w:p w14:paraId="63025A41"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通过年度部门决算与年初部门预算对比，对部门的年度支出情况进行考核，衡量部门预算的约束力。</w:t>
            </w:r>
          </w:p>
        </w:tc>
        <w:tc>
          <w:tcPr>
            <w:tcW w:w="1018" w:type="pct"/>
            <w:vAlign w:val="center"/>
          </w:tcPr>
          <w:p w14:paraId="6C4D5B0F" w14:textId="77777777" w:rsidR="00BD361B" w:rsidRPr="00BD361B" w:rsidRDefault="00BD361B" w:rsidP="00E847FB">
            <w:pPr>
              <w:widowControl/>
              <w:jc w:val="left"/>
              <w:rPr>
                <w:rFonts w:ascii="宋体" w:hAnsi="宋体" w:cs="宋体"/>
                <w:color w:val="000000"/>
                <w:kern w:val="0"/>
                <w:sz w:val="20"/>
                <w:szCs w:val="20"/>
              </w:rPr>
            </w:pPr>
            <w:r w:rsidRPr="00BD361B">
              <w:rPr>
                <w:rFonts w:ascii="宋体" w:hAnsi="宋体" w:cs="宋体" w:hint="eastAsia"/>
                <w:color w:val="000000"/>
                <w:kern w:val="0"/>
                <w:sz w:val="20"/>
                <w:szCs w:val="20"/>
              </w:rPr>
              <w:t>部门预决算差异率高于市级平均差异率（28.3%）的，每高出10%（含），扣0.4分，扣完为止。</w:t>
            </w:r>
          </w:p>
        </w:tc>
      </w:tr>
      <w:tr w:rsidR="00BD361B" w:rsidRPr="00BD361B" w14:paraId="2A4B0085" w14:textId="77777777" w:rsidTr="00C71417">
        <w:trPr>
          <w:trHeight w:val="454"/>
          <w:jc w:val="center"/>
        </w:trPr>
        <w:tc>
          <w:tcPr>
            <w:tcW w:w="2574" w:type="pct"/>
            <w:gridSpan w:val="5"/>
            <w:vAlign w:val="center"/>
          </w:tcPr>
          <w:p w14:paraId="39ED1155"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合计</w:t>
            </w:r>
          </w:p>
        </w:tc>
        <w:tc>
          <w:tcPr>
            <w:tcW w:w="253" w:type="pct"/>
            <w:vAlign w:val="center"/>
          </w:tcPr>
          <w:p w14:paraId="56BECA76"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100</w:t>
            </w:r>
          </w:p>
        </w:tc>
        <w:tc>
          <w:tcPr>
            <w:tcW w:w="278" w:type="pct"/>
            <w:gridSpan w:val="2"/>
            <w:vAlign w:val="center"/>
          </w:tcPr>
          <w:p w14:paraId="7069EFE0" w14:textId="08B7D018" w:rsidR="00BD361B" w:rsidRPr="00BD361B" w:rsidRDefault="00BD361B" w:rsidP="00E847FB">
            <w:pPr>
              <w:widowControl/>
              <w:jc w:val="center"/>
              <w:rPr>
                <w:rFonts w:ascii="宋体" w:hAnsi="宋体" w:cs="宋体" w:hint="eastAsia"/>
                <w:color w:val="000000"/>
                <w:kern w:val="0"/>
                <w:sz w:val="20"/>
                <w:szCs w:val="20"/>
              </w:rPr>
            </w:pPr>
            <w:r w:rsidRPr="00BD361B">
              <w:rPr>
                <w:rFonts w:ascii="宋体" w:hAnsi="宋体" w:cs="宋体" w:hint="eastAsia"/>
                <w:color w:val="000000"/>
                <w:kern w:val="0"/>
                <w:sz w:val="20"/>
                <w:szCs w:val="20"/>
              </w:rPr>
              <w:t>9</w:t>
            </w:r>
            <w:r w:rsidRPr="00BD361B">
              <w:rPr>
                <w:rFonts w:ascii="宋体" w:hAnsi="宋体" w:cs="宋体"/>
                <w:color w:val="000000"/>
                <w:kern w:val="0"/>
                <w:sz w:val="20"/>
                <w:szCs w:val="20"/>
              </w:rPr>
              <w:t>2.</w:t>
            </w:r>
            <w:r w:rsidR="00F152AB">
              <w:rPr>
                <w:rFonts w:ascii="宋体" w:hAnsi="宋体" w:cs="宋体" w:hint="eastAsia"/>
                <w:color w:val="000000"/>
                <w:kern w:val="0"/>
                <w:sz w:val="20"/>
                <w:szCs w:val="20"/>
              </w:rPr>
              <w:t>5</w:t>
            </w:r>
          </w:p>
        </w:tc>
        <w:tc>
          <w:tcPr>
            <w:tcW w:w="1895" w:type="pct"/>
            <w:gridSpan w:val="2"/>
            <w:vAlign w:val="center"/>
          </w:tcPr>
          <w:p w14:paraId="2B244A81" w14:textId="77777777" w:rsidR="00BD361B" w:rsidRPr="00BD361B" w:rsidRDefault="00BD361B" w:rsidP="00E847FB">
            <w:pPr>
              <w:widowControl/>
              <w:jc w:val="center"/>
              <w:rPr>
                <w:rFonts w:ascii="宋体" w:hAnsi="宋体" w:cs="宋体"/>
                <w:color w:val="000000"/>
                <w:kern w:val="0"/>
                <w:sz w:val="20"/>
                <w:szCs w:val="20"/>
              </w:rPr>
            </w:pPr>
            <w:r w:rsidRPr="00BD361B">
              <w:rPr>
                <w:rFonts w:ascii="宋体" w:hAnsi="宋体" w:cs="宋体" w:hint="eastAsia"/>
                <w:color w:val="000000"/>
                <w:kern w:val="0"/>
                <w:sz w:val="20"/>
                <w:szCs w:val="20"/>
              </w:rPr>
              <w:t xml:space="preserve">　</w:t>
            </w:r>
          </w:p>
        </w:tc>
      </w:tr>
    </w:tbl>
    <w:p w14:paraId="716A42A2" w14:textId="77777777" w:rsidR="00CF0C93" w:rsidRDefault="00CF0C93"/>
    <w:sectPr w:rsidR="00CF0C93" w:rsidSect="00BD361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244F2" w14:textId="77777777" w:rsidR="00F62E36" w:rsidRDefault="00F62E36" w:rsidP="00BD361B">
      <w:r>
        <w:separator/>
      </w:r>
    </w:p>
  </w:endnote>
  <w:endnote w:type="continuationSeparator" w:id="0">
    <w:p w14:paraId="605FF44C" w14:textId="77777777" w:rsidR="00F62E36" w:rsidRDefault="00F62E36" w:rsidP="00BD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5CCA8" w14:textId="77777777" w:rsidR="00F62E36" w:rsidRDefault="00F62E36" w:rsidP="00BD361B">
      <w:r>
        <w:separator/>
      </w:r>
    </w:p>
  </w:footnote>
  <w:footnote w:type="continuationSeparator" w:id="0">
    <w:p w14:paraId="77ADE55E" w14:textId="77777777" w:rsidR="00F62E36" w:rsidRDefault="00F62E36" w:rsidP="00BD36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B17"/>
    <w:rsid w:val="000E528A"/>
    <w:rsid w:val="00304C4C"/>
    <w:rsid w:val="00552DF1"/>
    <w:rsid w:val="00680763"/>
    <w:rsid w:val="00792FF0"/>
    <w:rsid w:val="008B3B17"/>
    <w:rsid w:val="00B04C2A"/>
    <w:rsid w:val="00B22D22"/>
    <w:rsid w:val="00BD361B"/>
    <w:rsid w:val="00C71417"/>
    <w:rsid w:val="00CF0C93"/>
    <w:rsid w:val="00D446B5"/>
    <w:rsid w:val="00E22FEB"/>
    <w:rsid w:val="00EE0504"/>
    <w:rsid w:val="00F152AB"/>
    <w:rsid w:val="00F2140E"/>
    <w:rsid w:val="00F62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FB700"/>
  <w15:chartTrackingRefBased/>
  <w15:docId w15:val="{E62464ED-7FFD-4D09-83CC-80B2025E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36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361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D361B"/>
    <w:rPr>
      <w:sz w:val="18"/>
      <w:szCs w:val="18"/>
    </w:rPr>
  </w:style>
  <w:style w:type="paragraph" w:styleId="a5">
    <w:name w:val="footer"/>
    <w:basedOn w:val="a"/>
    <w:link w:val="a6"/>
    <w:uiPriority w:val="99"/>
    <w:unhideWhenUsed/>
    <w:rsid w:val="00BD36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D361B"/>
    <w:rPr>
      <w:sz w:val="18"/>
      <w:szCs w:val="18"/>
    </w:rPr>
  </w:style>
  <w:style w:type="character" w:styleId="a7">
    <w:name w:val="annotation reference"/>
    <w:basedOn w:val="a0"/>
    <w:uiPriority w:val="99"/>
    <w:semiHidden/>
    <w:unhideWhenUsed/>
    <w:rsid w:val="00BD361B"/>
    <w:rPr>
      <w:sz w:val="21"/>
      <w:szCs w:val="21"/>
    </w:rPr>
  </w:style>
  <w:style w:type="paragraph" w:styleId="a8">
    <w:name w:val="annotation text"/>
    <w:basedOn w:val="a"/>
    <w:link w:val="a9"/>
    <w:uiPriority w:val="99"/>
    <w:semiHidden/>
    <w:unhideWhenUsed/>
    <w:rsid w:val="00BD361B"/>
    <w:pPr>
      <w:jc w:val="left"/>
    </w:pPr>
  </w:style>
  <w:style w:type="character" w:customStyle="1" w:styleId="a9">
    <w:name w:val="批注文字 字符"/>
    <w:basedOn w:val="a0"/>
    <w:link w:val="a8"/>
    <w:uiPriority w:val="99"/>
    <w:semiHidden/>
    <w:rsid w:val="00BD361B"/>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BD361B"/>
    <w:rPr>
      <w:b/>
      <w:bCs/>
    </w:rPr>
  </w:style>
  <w:style w:type="character" w:customStyle="1" w:styleId="ab">
    <w:name w:val="批注主题 字符"/>
    <w:basedOn w:val="a9"/>
    <w:link w:val="aa"/>
    <w:uiPriority w:val="99"/>
    <w:semiHidden/>
    <w:rsid w:val="00BD361B"/>
    <w:rPr>
      <w:rFonts w:ascii="Times New Roman" w:eastAsia="宋体" w:hAnsi="Times New Roman" w:cs="Times New Roman"/>
      <w:b/>
      <w:bCs/>
      <w:szCs w:val="24"/>
    </w:rPr>
  </w:style>
  <w:style w:type="character" w:customStyle="1" w:styleId="font11">
    <w:name w:val="font11"/>
    <w:basedOn w:val="a0"/>
    <w:qFormat/>
    <w:rsid w:val="00BD361B"/>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9</Pages>
  <Words>593</Words>
  <Characters>3386</Characters>
  <Application>Microsoft Office Word</Application>
  <DocSecurity>0</DocSecurity>
  <Lines>28</Lines>
  <Paragraphs>7</Paragraphs>
  <ScaleCrop>false</ScaleCrop>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用户</dc:creator>
  <cp:keywords/>
  <dc:description/>
  <cp:lastModifiedBy>用户</cp:lastModifiedBy>
  <cp:revision>4</cp:revision>
  <dcterms:created xsi:type="dcterms:W3CDTF">2024-05-17T01:19:00Z</dcterms:created>
  <dcterms:modified xsi:type="dcterms:W3CDTF">2024-05-17T07:36:00Z</dcterms:modified>
</cp:coreProperties>
</file>