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684B1">
      <w:pPr>
        <w:adjustRightInd w:val="0"/>
        <w:snapToGrid w:val="0"/>
        <w:spacing w:line="360" w:lineRule="auto"/>
        <w:jc w:val="center"/>
        <w:rPr>
          <w:rFonts w:ascii="方正小标宋简体" w:hAnsi="方正小标宋简体" w:eastAsia="方正小标宋简体"/>
          <w:bCs/>
          <w:sz w:val="36"/>
          <w:szCs w:val="36"/>
        </w:rPr>
      </w:pPr>
      <w:r>
        <w:rPr>
          <w:rFonts w:hint="eastAsia" w:ascii="方正小标宋简体" w:hAnsi="方正小标宋简体" w:eastAsia="方正小标宋简体"/>
          <w:bCs/>
          <w:sz w:val="36"/>
          <w:szCs w:val="36"/>
        </w:rPr>
        <w:t>北京市商务局2023年度部门整体绩效评价报告</w:t>
      </w:r>
    </w:p>
    <w:p w14:paraId="573B5789">
      <w:pPr>
        <w:jc w:val="center"/>
        <w:rPr>
          <w:rFonts w:ascii="宋体" w:hAnsi="宋体"/>
          <w:b/>
          <w:bCs/>
          <w:sz w:val="44"/>
          <w:szCs w:val="44"/>
        </w:rPr>
      </w:pPr>
    </w:p>
    <w:p w14:paraId="4D82671E">
      <w:pPr>
        <w:pStyle w:val="2"/>
        <w:keepNext w:val="0"/>
        <w:keepLines w:val="0"/>
        <w:spacing w:before="0" w:after="0" w:line="560" w:lineRule="exact"/>
        <w:ind w:firstLine="640" w:firstLineChars="200"/>
        <w:rPr>
          <w:rFonts w:ascii="黑体" w:hAnsi="黑体" w:eastAsia="黑体" w:cs="仿宋_GB2312"/>
          <w:b w:val="0"/>
          <w:bCs w:val="0"/>
          <w:snapToGrid w:val="0"/>
          <w:kern w:val="0"/>
          <w:sz w:val="32"/>
          <w:szCs w:val="32"/>
        </w:rPr>
      </w:pPr>
      <w:bookmarkStart w:id="0" w:name="_Toc169183181"/>
      <w:bookmarkStart w:id="1" w:name="_Toc11682220"/>
      <w:bookmarkStart w:id="2" w:name="_Toc106787591"/>
      <w:r>
        <w:rPr>
          <w:rFonts w:hint="eastAsia" w:ascii="黑体" w:hAnsi="黑体" w:eastAsia="黑体" w:cs="仿宋_GB2312"/>
          <w:b w:val="0"/>
          <w:bCs w:val="0"/>
          <w:snapToGrid w:val="0"/>
          <w:kern w:val="0"/>
          <w:sz w:val="32"/>
          <w:szCs w:val="32"/>
        </w:rPr>
        <w:t>一、</w:t>
      </w:r>
      <w:bookmarkEnd w:id="0"/>
      <w:r>
        <w:rPr>
          <w:rFonts w:hint="eastAsia" w:ascii="黑体" w:hAnsi="黑体" w:eastAsia="黑体" w:cs="仿宋_GB2312"/>
          <w:b w:val="0"/>
          <w:bCs w:val="0"/>
          <w:snapToGrid w:val="0"/>
          <w:kern w:val="0"/>
          <w:sz w:val="32"/>
          <w:szCs w:val="32"/>
        </w:rPr>
        <w:t>部门</w:t>
      </w:r>
      <w:bookmarkEnd w:id="1"/>
      <w:r>
        <w:rPr>
          <w:rFonts w:hint="eastAsia" w:ascii="黑体" w:hAnsi="黑体" w:eastAsia="黑体" w:cs="仿宋_GB2312"/>
          <w:b w:val="0"/>
          <w:bCs w:val="0"/>
          <w:snapToGrid w:val="0"/>
          <w:kern w:val="0"/>
          <w:sz w:val="32"/>
          <w:szCs w:val="32"/>
        </w:rPr>
        <w:t>概况</w:t>
      </w:r>
      <w:bookmarkEnd w:id="2"/>
      <w:bookmarkStart w:id="3" w:name="_Toc11682221"/>
    </w:p>
    <w:p w14:paraId="55220F5C">
      <w:pPr>
        <w:spacing w:line="560" w:lineRule="exact"/>
        <w:ind w:firstLine="640" w:firstLineChars="200"/>
        <w:outlineLvl w:val="1"/>
        <w:rPr>
          <w:rFonts w:ascii="楷体_GB2312" w:eastAsia="楷体_GB2312"/>
          <w:sz w:val="32"/>
          <w:szCs w:val="32"/>
        </w:rPr>
      </w:pPr>
      <w:bookmarkStart w:id="4" w:name="_Toc106787592"/>
      <w:r>
        <w:rPr>
          <w:rFonts w:hint="eastAsia" w:ascii="楷体_GB2312" w:eastAsia="楷体_GB2312"/>
          <w:sz w:val="32"/>
          <w:szCs w:val="32"/>
        </w:rPr>
        <w:t>（一）机构设置及职责工作任务情况</w:t>
      </w:r>
    </w:p>
    <w:bookmarkEnd w:id="3"/>
    <w:bookmarkEnd w:id="4"/>
    <w:p w14:paraId="6C6C80E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1.部门职责</w:t>
      </w:r>
    </w:p>
    <w:p w14:paraId="425E673D">
      <w:p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rPr>
        <w:t>根据《中共北京市委办公厅北京市人民政府办公厅关于印发&lt;北京市商务局职能配置、内设机构和人员编制规定&gt;的通知》（京办字〔2019〕44号），北京市商务局设办公室、</w:t>
      </w:r>
      <w:bookmarkStart w:id="5" w:name="_GoBack"/>
      <w:bookmarkEnd w:id="5"/>
      <w:r>
        <w:rPr>
          <w:rFonts w:hint="eastAsia" w:ascii="仿宋_GB2312" w:hAnsi="宋体" w:eastAsia="仿宋_GB2312"/>
          <w:sz w:val="32"/>
          <w:szCs w:val="32"/>
        </w:rPr>
        <w:t>综合协调处、流通发展处等38个内设机构及下属8个预算单位，分别为北京市国际服务贸易事务中心、北京市商务局综合事务中心、北京市商务局行政审批服务中心、北京市对外贸易学校（北京市商务局教育中心）、北京市商务局应急储备保障中心、北京市商务举报投诉中心、北京市流通经济研究中心（北京商业信息咨询中心）、北京全球服务贸易发展促进中心。北京市商务局（简称市商务局）是市政府组成部门，为正局级，加挂北京市人民政府口岸办公室（简称市政府口岸办）牌子。部门主要职责是：</w:t>
      </w:r>
    </w:p>
    <w:p w14:paraId="3C077E6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（1）起草本市相关地方性法规草案、政府规章草案，研究内外贸易、外商投资、对外经济合作和口岸工作的发展战略，提出中长期发展规划及年度计划并组织实施。</w:t>
      </w:r>
    </w:p>
    <w:p w14:paraId="03BFB58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负责推进本市流通产业结构调整，指导流通企业改革，促进商贸服务业和社区商业发展，提出促进商贸中小企业发展的政策建议，推动流通标准化和连锁经营、商业特许经营、物流配送、电子商务等现代流通方式的发展。</w:t>
      </w:r>
    </w:p>
    <w:p w14:paraId="5369055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促进本市城乡市场发展，会同有关部门组织编制本市商品流通和生活性服务业（不含住宿业）重点设施的布局规划并组织实施。协调推进市级商业中心、特色商业街区、大型批发零售商业设施等流通基础设施和重大项目建设。推进商业体系和农村流通现代化体系建设。牵头负责生活性服务业品质提升工作及相关行业发展促进工作。</w:t>
      </w:r>
    </w:p>
    <w:p w14:paraId="78F3DB5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（4）会同有关部门负责本市消费促进工作，研究制定促消费政策措施并组织实施，指导市有关部门、各区开展促消费工作。监测消费市场和批发业运行情况。</w:t>
      </w:r>
    </w:p>
    <w:p w14:paraId="115A791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（5）承担牵头协调本市整顿和规范流通秩序工作的责任。提出提升商业服务质量和规范流通秩序的政策建议。参与推动商务领域信用建设，指导商业信用销售，按照有关规定对特殊流通行业进行监督管理。</w:t>
      </w:r>
    </w:p>
    <w:p w14:paraId="64C513F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6）承担组织实施本市重要消费品市场调控和有关重要生产资料流通管理的责任。负责建立健全生活必需品市场供应应急管理机制，监测分析市场运行、商品供求状况，调查分析商品价格信息，进行预测预警和信息引导，按分工负责重要消费品储备管理和市场调控工作。按照有关规定对成品油流通进行监督管理。组织落实中央及本市重大会议活动的商品供应和相关服务保障工作。</w:t>
      </w:r>
    </w:p>
    <w:p w14:paraId="713A0F2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7）统筹推进本市商务服务业发展，会同有关部门拟订商务服务业发展规划、政策并组织实施。会同有关部门组织编制本市物流配送重点设施布局规划，拟订相关政策措施并组织实施，协调物流园区的规划和建设。负责推进会展业发展，会同有关部门拟订会展业发展规划、政策、标准并组织实施。</w:t>
      </w:r>
    </w:p>
    <w:p w14:paraId="1830CB8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8）负责本市货物进出口相关管理工作，拟订促进外贸发展规划，提出促进外贸稳增长调结构的政策措施并组织实施。监测分析外贸运行情况。贯彻落实国家相关支持政策措施。负责进出口企业经营资格备案、进出口许可证签发等行政管理工作。监督和协调本市机电产品的国际招标投标活动。负责海关特殊监管区域、保税监管场所的相关行业指导工作。指导开发区外贸、外商投资和对外经济合作工作。</w:t>
      </w:r>
    </w:p>
    <w:p w14:paraId="23C9DF4A">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9）负责本市技术贸易工作，执行国家对外技术贸易、进出口管制以及鼓励技术和成套设备进出口的贸易政策，推进进出口贸易标准化工作，依法监督技术引进、设备进口、国家限制出口技术的工作，依法颁发两用物项和技术进出口许可证。</w:t>
      </w:r>
    </w:p>
    <w:p w14:paraId="734B350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10）牵头拟订本市服务贸易发展规划并开展相关工作，会同有关部门制定促进服务贸易和服务外包发展的政策措施并组织实施，推动服务贸易公共服务平台建设。会同有关方面拟订促进对外文化贸易发展的规划、政策并组织实施，负责对外文化贸易统计分析等工作。</w:t>
      </w:r>
    </w:p>
    <w:p w14:paraId="2E9CE8D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（11）协助承担本市与对外贸易有关的知识产权保护工作。负责涉及本市的世界贸易组织有关事务的综合协调工作。协助承担本市进出口公平贸易、产业损害调查及产业安全应对工作。</w:t>
      </w:r>
    </w:p>
    <w:p w14:paraId="50D31BD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12）负责本市外商投资相关管理及投资促进工作，拟订外商投资及投资促进政策并组织实施，依法负责外商投资企业设立、变更以及外国投资者并购境内企业设立外商投资企业的审批工作，依法监督检查外商投资企业执行有关法律法规规章、合同章程的情况并协调解决有关问题，指导本市外商投资企业备案工作。加强与港澳台地区的经济合作交流。</w:t>
      </w:r>
    </w:p>
    <w:p w14:paraId="50CBB72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13）负责本市对外经济合作工作，研究提出对外经济合作发展的政策措施，负责与国外多双边经济、技术援助的有关工作，依法管理和监督对外投资、对外承包工程、对外劳务合作等，负责牵头外派劳务人员的权益保护工作，按权限依法核准对外劳务合作经营资格。</w:t>
      </w:r>
    </w:p>
    <w:p w14:paraId="6FA3F17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14）负责依法指导、协调商务领域安全生产管理工作，指导督促商务领域重点单位贯彻落实有关安全法律法规，配合有关部门对违反有关安全法律法规的行为进行查处，并承担相应的管理责任。依法对本市成品油流通等方面的安全工作承担相应的管理责任。</w:t>
      </w:r>
    </w:p>
    <w:p w14:paraId="1EC6057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15）起草本市关于口岸工作方面的地方性法规草案、政府规章草案。研究提出口岸发展规划及政策措施并组织实施。负责口岸综合协调管理和通关便利化工作。负责拟订本市电子口岸建设规划并组织实施。组织实施北京国际贸易“单一窗口”工作。负责京津冀口岸协同发展相关工作。组织协调首都机场地区精神文明建设和社会治安综合治理、食品药品安全等工作。</w:t>
      </w:r>
    </w:p>
    <w:p w14:paraId="4841159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（16）负责本市商业服务业人才工作的宏观管理，引导、推动并组织协调商业服务业人才队伍建设及老字号传承人才培养工作。</w:t>
      </w:r>
    </w:p>
    <w:p w14:paraId="729C309E">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（17）完成市委、市政府交办的其他事项。</w:t>
      </w:r>
    </w:p>
    <w:p w14:paraId="016D6BB9">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8</w:t>
      </w:r>
      <w:r>
        <w:rPr>
          <w:rFonts w:hint="eastAsia" w:ascii="仿宋_GB2312" w:hAnsi="宋体" w:eastAsia="仿宋_GB2312"/>
          <w:sz w:val="32"/>
          <w:szCs w:val="32"/>
        </w:rPr>
        <w:t>）职能转变。市商务局要加强、优化、转变商务领域管理和服务职能，完善行业管理制度和政策体系，加强宏观指导和内外贸易统筹，减少微观管理和具体审批事项，加强事中事后监管和流通秩序建设。着力加大对市场总消费促进工作的统筹力度，切实推动商业服务业品牌发展和服务质量提升，优化商务领域营商环境。</w:t>
      </w:r>
    </w:p>
    <w:p w14:paraId="79C8A10B">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19</w:t>
      </w:r>
      <w:r>
        <w:rPr>
          <w:rFonts w:hint="eastAsia" w:ascii="仿宋_GB2312" w:hAnsi="宋体" w:eastAsia="仿宋_GB2312"/>
          <w:sz w:val="32"/>
          <w:szCs w:val="32"/>
        </w:rPr>
        <w:t>）有关职责分工。与市药监局的有关职责分工。负责拟订药品流通发展规划和政策；市药监局在药品监督管理工作中，配合执行药品流通发展规划和政策。</w:t>
      </w:r>
    </w:p>
    <w:p w14:paraId="0614E3FB">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中国（北京）自由贸易试验区（国家服务业扩大开放综合示范区）工作领导小组办公室设在市商务局。主要职责是：贯彻执行党中央、国务院的决策部署及相关法律法规、制度规定，研究讨论国家服务业扩大开放综合示范区（以下简称综合示范区）、中国（北京）自由贸易试验区和中国（河北）自由贸易试验区大兴机场片区（北京大兴）（以下简称自贸试验区）改革创新的重大问题，审议综合示范区、自贸试验区管理办法、实施方案、制度创新清单和工作计划等，统筹协调综合示范区、自贸试验区改革创新中的重大事项，向国务院自由贸易试验区工作部际联席会议及其办公室请示报告自贸试验区改革创新的重大事项。</w:t>
      </w:r>
    </w:p>
    <w:p w14:paraId="2965F2B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2.机构设置</w:t>
      </w:r>
    </w:p>
    <w:p w14:paraId="38194F7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市商务局内设</w:t>
      </w:r>
      <w:r>
        <w:rPr>
          <w:rFonts w:hint="eastAsia" w:ascii="仿宋_GB2312" w:hAnsi="宋体" w:eastAsia="仿宋_GB2312"/>
          <w:sz w:val="32"/>
          <w:szCs w:val="32"/>
          <w:lang w:val="en-US" w:eastAsia="zh-CN"/>
        </w:rPr>
        <w:t>38</w:t>
      </w:r>
      <w:r>
        <w:rPr>
          <w:rFonts w:hint="eastAsia" w:ascii="仿宋_GB2312" w:hAnsi="宋体" w:eastAsia="仿宋_GB2312"/>
          <w:sz w:val="32"/>
          <w:szCs w:val="32"/>
        </w:rPr>
        <w:t>个处室分别为办公室、综合处（研究室）、法制与公平贸易处（世贸组织事务处）、</w:t>
      </w:r>
      <w:r>
        <w:rPr>
          <w:rFonts w:ascii="仿宋_GB2312" w:hAnsi="宋体" w:eastAsia="仿宋_GB2312"/>
          <w:sz w:val="32"/>
          <w:szCs w:val="32"/>
        </w:rPr>
        <w:t>综合协调处</w:t>
      </w:r>
      <w:r>
        <w:rPr>
          <w:rFonts w:hint="eastAsia" w:ascii="仿宋_GB2312" w:hAnsi="宋体" w:eastAsia="仿宋_GB2312"/>
          <w:sz w:val="32"/>
          <w:szCs w:val="32"/>
        </w:rPr>
        <w:t>、制度创新处、运行指导处、统计信息处、督查评估处、规划建设处、流通发展处、服务质量促进处（流通秩序处）、消费促进一处（北京国际消费中心城市建设协调处）、消费促进二处、生活服务业一处、生活服务业二处、储备调控处、市场建设处（京津冀商务发展协同处）、电子商务处 （跨境电商促进处）、物流发展处、商务服务业发展处、商务环境协调推进处 （总部经济发展处）、外贸运行处（北京市机电产品进出口办公室）、会展处、</w:t>
      </w:r>
      <w:r>
        <w:rPr>
          <w:rFonts w:ascii="仿宋_GB2312" w:hAnsi="宋体" w:eastAsia="仿宋_GB2312"/>
          <w:sz w:val="32"/>
          <w:szCs w:val="32"/>
        </w:rPr>
        <w:t>服务贸易处</w:t>
      </w:r>
      <w:r>
        <w:rPr>
          <w:rFonts w:hint="eastAsia" w:ascii="仿宋_GB2312" w:hAnsi="宋体" w:eastAsia="仿宋_GB2312"/>
          <w:sz w:val="32"/>
          <w:szCs w:val="32"/>
        </w:rPr>
        <w:t>、外资发展处、外资管理处（对港澳台经济合作处）、对外经济合作处、安全管理处、口岸综合业务处、口岸管理处、商务信息化处、新闻宣传处、财务处、人事处</w:t>
      </w:r>
      <w:r>
        <w:rPr>
          <w:rFonts w:hint="eastAsia" w:ascii="仿宋_GB2312" w:hAnsi="宋体" w:eastAsia="仿宋_GB2312"/>
          <w:sz w:val="32"/>
          <w:szCs w:val="32"/>
          <w:lang w:eastAsia="zh-CN"/>
        </w:rPr>
        <w:t>、</w:t>
      </w:r>
      <w:r>
        <w:rPr>
          <w:rFonts w:hint="eastAsia" w:ascii="仿宋_GB2312" w:hAnsi="宋体" w:eastAsia="仿宋_GB2312"/>
          <w:sz w:val="32"/>
          <w:szCs w:val="32"/>
        </w:rPr>
        <w:t>机关党委、机关纪委、工会</w:t>
      </w:r>
      <w:r>
        <w:rPr>
          <w:rFonts w:hint="eastAsia" w:ascii="仿宋_GB2312" w:hAnsi="宋体" w:eastAsia="仿宋_GB2312"/>
          <w:sz w:val="32"/>
          <w:szCs w:val="32"/>
          <w:lang w:eastAsia="zh-CN"/>
        </w:rPr>
        <w:t>及</w:t>
      </w:r>
      <w:r>
        <w:rPr>
          <w:rFonts w:hint="eastAsia" w:ascii="仿宋_GB2312" w:hAnsi="宋体" w:eastAsia="仿宋_GB2312"/>
          <w:sz w:val="32"/>
          <w:szCs w:val="32"/>
        </w:rPr>
        <w:t>离退休干部处。下属8个预算单位，分别为</w:t>
      </w:r>
      <w:r>
        <w:rPr>
          <w:rFonts w:hint="eastAsia" w:ascii="仿宋_GB2312" w:hAnsi="仿宋_GB2312" w:eastAsia="仿宋_GB2312" w:cs="仿宋_GB2312"/>
          <w:sz w:val="32"/>
          <w:szCs w:val="32"/>
          <w:shd w:val="clear" w:color="auto" w:fill="FFFFFF"/>
        </w:rPr>
        <w:t>北京市国际服务贸易事务中心、北京市商务局综合事务中心、北京市商务局行政审批服务中心、北京市对外贸易学校（北京市商务局教育中心）、北京市商务局应急储备保障中心、北京市商务举报投诉中心、北京市流通经济研究中心（北京商业信息咨询中心）、北京全球服务贸易发展促进中心。</w:t>
      </w:r>
    </w:p>
    <w:p w14:paraId="48AD563A">
      <w:pPr>
        <w:spacing w:line="560" w:lineRule="exact"/>
        <w:ind w:firstLine="640" w:firstLineChars="200"/>
        <w:rPr>
          <w:rFonts w:ascii="仿宋_GB2312" w:hAnsi="宋体" w:eastAsia="仿宋_GB2312"/>
          <w:sz w:val="32"/>
          <w:szCs w:val="32"/>
        </w:rPr>
      </w:pPr>
    </w:p>
    <w:p w14:paraId="53FB318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3.人员情况</w:t>
      </w:r>
    </w:p>
    <w:p w14:paraId="4F4FF31D">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截止至2023年12月底，北京市商务局机关本级行政编制2</w:t>
      </w:r>
      <w:r>
        <w:rPr>
          <w:rFonts w:hint="eastAsia" w:ascii="仿宋_GB2312" w:hAnsi="宋体" w:eastAsia="仿宋_GB2312"/>
          <w:sz w:val="32"/>
          <w:szCs w:val="32"/>
          <w:lang w:val="en-US" w:eastAsia="zh-CN"/>
        </w:rPr>
        <w:t>59</w:t>
      </w:r>
      <w:r>
        <w:rPr>
          <w:rFonts w:hint="eastAsia" w:ascii="仿宋_GB2312" w:hAnsi="宋体" w:eastAsia="仿宋_GB2312"/>
          <w:sz w:val="32"/>
          <w:szCs w:val="32"/>
        </w:rPr>
        <w:t>人，实有在编</w:t>
      </w:r>
      <w:r>
        <w:rPr>
          <w:rFonts w:hint="eastAsia" w:ascii="仿宋_GB2312" w:hAnsi="宋体" w:eastAsia="仿宋_GB2312"/>
          <w:sz w:val="32"/>
          <w:szCs w:val="32"/>
          <w:lang w:val="en-US" w:eastAsia="zh-CN"/>
        </w:rPr>
        <w:t>259</w:t>
      </w:r>
      <w:r>
        <w:rPr>
          <w:rFonts w:hint="eastAsia" w:ascii="仿宋_GB2312" w:hAnsi="宋体" w:eastAsia="仿宋_GB2312"/>
          <w:sz w:val="32"/>
          <w:szCs w:val="32"/>
        </w:rPr>
        <w:t>人；事业单位编制数为4</w:t>
      </w:r>
      <w:r>
        <w:rPr>
          <w:rFonts w:hint="eastAsia" w:ascii="仿宋_GB2312" w:hAnsi="宋体" w:eastAsia="仿宋_GB2312"/>
          <w:sz w:val="32"/>
          <w:szCs w:val="32"/>
          <w:lang w:val="en-US" w:eastAsia="zh-CN"/>
        </w:rPr>
        <w:t>97</w:t>
      </w:r>
      <w:r>
        <w:rPr>
          <w:rFonts w:hint="eastAsia" w:ascii="仿宋_GB2312" w:hAnsi="宋体" w:eastAsia="仿宋_GB2312"/>
          <w:sz w:val="32"/>
          <w:szCs w:val="32"/>
        </w:rPr>
        <w:t>人，实有人员为4</w:t>
      </w:r>
      <w:r>
        <w:rPr>
          <w:rFonts w:hint="eastAsia" w:ascii="仿宋_GB2312" w:hAnsi="宋体" w:eastAsia="仿宋_GB2312"/>
          <w:sz w:val="32"/>
          <w:szCs w:val="32"/>
          <w:lang w:val="en-US" w:eastAsia="zh-CN"/>
        </w:rPr>
        <w:t>22</w:t>
      </w:r>
      <w:r>
        <w:rPr>
          <w:rFonts w:hint="eastAsia" w:ascii="仿宋_GB2312" w:hAnsi="宋体" w:eastAsia="仿宋_GB2312"/>
          <w:sz w:val="32"/>
          <w:szCs w:val="32"/>
        </w:rPr>
        <w:t>人；离退休人员535人（其中，离休干部</w:t>
      </w:r>
      <w:r>
        <w:rPr>
          <w:rFonts w:hint="eastAsia" w:ascii="仿宋_GB2312" w:hAnsi="宋体" w:eastAsia="仿宋_GB2312"/>
          <w:sz w:val="32"/>
          <w:szCs w:val="32"/>
          <w:lang w:val="en-US" w:eastAsia="zh-CN"/>
        </w:rPr>
        <w:t>5</w:t>
      </w:r>
      <w:r>
        <w:rPr>
          <w:rFonts w:hint="eastAsia" w:ascii="仿宋_GB2312" w:hAnsi="宋体" w:eastAsia="仿宋_GB2312"/>
          <w:sz w:val="32"/>
          <w:szCs w:val="32"/>
        </w:rPr>
        <w:t>人，退休干部</w:t>
      </w:r>
      <w:r>
        <w:rPr>
          <w:rFonts w:hint="eastAsia" w:ascii="仿宋_GB2312" w:hAnsi="宋体" w:eastAsia="仿宋_GB2312"/>
          <w:sz w:val="32"/>
          <w:szCs w:val="32"/>
          <w:lang w:val="en-US" w:eastAsia="zh-CN"/>
        </w:rPr>
        <w:t>51</w:t>
      </w:r>
      <w:r>
        <w:rPr>
          <w:rFonts w:hint="eastAsia" w:ascii="仿宋_GB2312" w:hAnsi="宋体" w:eastAsia="仿宋_GB2312"/>
          <w:sz w:val="32"/>
          <w:szCs w:val="32"/>
        </w:rPr>
        <w:t>9人，退休工勤人员</w:t>
      </w:r>
      <w:r>
        <w:rPr>
          <w:rFonts w:hint="eastAsia" w:ascii="仿宋_GB2312" w:hAnsi="宋体" w:eastAsia="仿宋_GB2312"/>
          <w:sz w:val="32"/>
          <w:szCs w:val="32"/>
          <w:lang w:val="en-US" w:eastAsia="zh-CN"/>
        </w:rPr>
        <w:t>11</w:t>
      </w:r>
      <w:r>
        <w:rPr>
          <w:rFonts w:hint="eastAsia" w:ascii="仿宋_GB2312" w:hAnsi="宋体" w:eastAsia="仿宋_GB2312"/>
          <w:sz w:val="32"/>
          <w:szCs w:val="32"/>
        </w:rPr>
        <w:t>人）。</w:t>
      </w:r>
    </w:p>
    <w:p w14:paraId="3A604D8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4.年度工作任务</w:t>
      </w:r>
    </w:p>
    <w:p w14:paraId="786E698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是贯彻落实党的二十大精神的开局之年，是实施“十四五”规划承上启下的关键一年，2023年全市商务重点抓好以下工作：一是以“两区”建设为牵引，逐步深化高水平制度型开放。集成性谋划制度创新；高水平推进园区开放；实施自贸试验区提升行动；精准化推动项目落地；优化完善工作推进机制；进一步擦亮服贸会金字招牌；二是以提质便民为核心，高质量建设国际消费中心城市。着力提升消费供给质量；加速释放服务消费潜力；积极营造活跃的消费氛围；持续优化消费营商环境；健全常态化消费推进体系；三是以优化提升为重点，全力打造高标准现代商贸体系。优化提升流通网络和商贸节点布局；增强提升市场主体竞争力。四是以稳中提质为目标，着力推动外贸外资稳规模优结构。做大做强出口规模和质量；增强服务贸易创新发展动能；提高双向投资质量；提升口岸通关水平。五是以民生需求为导向，助企惠民向前一步。加快生活服务行业高质量发展；推动会展业全面复工复产；更好统筹商务领域疫情防控和供应保障；六是以从严为标准，持续加强自身建设。</w:t>
      </w:r>
    </w:p>
    <w:p w14:paraId="5FA5EF10">
      <w:pPr>
        <w:spacing w:line="560" w:lineRule="exact"/>
        <w:ind w:firstLine="640" w:firstLineChars="200"/>
        <w:outlineLvl w:val="1"/>
        <w:rPr>
          <w:rFonts w:ascii="楷体_GB2312" w:eastAsia="楷体_GB2312"/>
          <w:sz w:val="32"/>
          <w:szCs w:val="32"/>
        </w:rPr>
      </w:pPr>
      <w:r>
        <w:rPr>
          <w:rFonts w:hint="eastAsia" w:ascii="楷体_GB2312" w:eastAsia="楷体_GB2312"/>
          <w:sz w:val="32"/>
          <w:szCs w:val="32"/>
        </w:rPr>
        <w:t>（二）部门整体绩效目标设立情况</w:t>
      </w:r>
    </w:p>
    <w:p w14:paraId="52E1915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市商务局围绕高标准推进“两区”和服贸会平台建设、高质量建设国际消费中心城市、着力稳住外贸外资基本盘、着力提升服务和保障水平四方面年度重点任务设置部门整体目标：一是高标准推进“两区”和服贸会平台建设。集成性谋划制度创新；高水平推进园区开放；加快实施重点园区发展提升专项行动；优化完善工作推进机制；强化“五子”深度联动。进一步擦亮服贸会金字招牌。二是高质量建设国际消费中心城市。夯实消费升级基本盘；培育多元消费新增长点；提升“北京消费”城市影响力。三是着力稳住外贸外资基本盘。推进贸易创新发展；提升双向投资质量；健全外资促进体系；完善对外投资合作体系；提升口岸通关水平。四是着力提升服务和保障水平。加强便民商业体系建设；统筹商务领域疫情防控和保供稳价。统筹做好促消费、稳外贸、稳外资、保民生等各项商务工作，为全市经济高质量发展提供重要支撑。</w:t>
      </w:r>
    </w:p>
    <w:p w14:paraId="17861C7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依据部门职能及年度重点工作任务，从推进“两区”及服贸会平台建设、打造国际消费中心城市、创新商业流通方式、加强便民商业体系建设、支持外贸企业及对外投资合作、推动服务贸易创新发展等方面对部门整体目标进行细化分解，设定相应的产出指标、效益指标及满意度指标。部门整体目标及指标与市商务局部门职责、年度重点工作任务相匹配。</w:t>
      </w:r>
    </w:p>
    <w:p w14:paraId="66902BE0">
      <w:pPr>
        <w:pStyle w:val="2"/>
        <w:keepNext w:val="0"/>
        <w:keepLines w:val="0"/>
        <w:spacing w:before="0" w:after="0" w:line="560" w:lineRule="exact"/>
        <w:ind w:firstLine="640" w:firstLineChars="200"/>
        <w:rPr>
          <w:rFonts w:ascii="黑体" w:hAnsi="黑体" w:eastAsia="黑体" w:cs="仿宋_GB2312"/>
          <w:b w:val="0"/>
          <w:bCs w:val="0"/>
          <w:snapToGrid w:val="0"/>
          <w:kern w:val="0"/>
          <w:sz w:val="32"/>
          <w:szCs w:val="32"/>
        </w:rPr>
      </w:pPr>
      <w:r>
        <w:rPr>
          <w:rFonts w:hint="eastAsia" w:ascii="黑体" w:hAnsi="黑体" w:eastAsia="黑体" w:cs="仿宋_GB2312"/>
          <w:b w:val="0"/>
          <w:bCs w:val="0"/>
          <w:snapToGrid w:val="0"/>
          <w:kern w:val="0"/>
          <w:sz w:val="32"/>
          <w:szCs w:val="32"/>
        </w:rPr>
        <w:t>二、当年预算执行情况</w:t>
      </w:r>
    </w:p>
    <w:p w14:paraId="2BB6846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2023年全年预算数300,271.05万元，其中，基本支出预算数30,326.92万元，项目支出预算数269,944.13万元。资金总体支出265,706.87万元，其中，基本支出29,772.26万元，项目支出235,934.61万元。预算执行率为88.49%。</w:t>
      </w:r>
    </w:p>
    <w:p w14:paraId="3504B38B">
      <w:pPr>
        <w:pStyle w:val="2"/>
        <w:keepNext w:val="0"/>
        <w:keepLines w:val="0"/>
        <w:spacing w:before="0" w:after="0" w:line="560" w:lineRule="exact"/>
        <w:ind w:firstLine="640" w:firstLineChars="200"/>
        <w:rPr>
          <w:rFonts w:ascii="黑体" w:hAnsi="黑体" w:eastAsia="黑体" w:cs="仿宋_GB2312"/>
          <w:b w:val="0"/>
          <w:bCs w:val="0"/>
          <w:snapToGrid w:val="0"/>
          <w:kern w:val="0"/>
          <w:sz w:val="32"/>
          <w:szCs w:val="32"/>
        </w:rPr>
      </w:pPr>
      <w:r>
        <w:rPr>
          <w:rFonts w:hint="eastAsia" w:ascii="黑体" w:hAnsi="黑体" w:eastAsia="黑体" w:cs="仿宋_GB2312"/>
          <w:b w:val="0"/>
          <w:bCs w:val="0"/>
          <w:snapToGrid w:val="0"/>
          <w:kern w:val="0"/>
          <w:sz w:val="32"/>
          <w:szCs w:val="32"/>
        </w:rPr>
        <w:t>三、整体绩效目标实现情况</w:t>
      </w:r>
    </w:p>
    <w:p w14:paraId="289BF146">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（一）产出完成情况分析</w:t>
      </w:r>
    </w:p>
    <w:p w14:paraId="247118E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1.产出数量</w:t>
      </w:r>
    </w:p>
    <w:p w14:paraId="70CAF98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（1）推进“两区”和服贸会平台建设</w:t>
      </w:r>
    </w:p>
    <w:p w14:paraId="2552DCB3">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sz w:val="32"/>
          <w:szCs w:val="32"/>
        </w:rPr>
        <w:t>一是推进“两区”建设。①开展“两区”建设全方位宣传。形成《国内外开放动态速递》90余期，及时收集其他先进地区特别是自贸试验区的最新热点、动态，为我市“两区”建设提供支撑借鉴；拍摄“两区”政策解读小视频20期，持续提升公众对“两区”政策知晓度；围绕“创新、数智、绿色、便利、协同”五大自贸及特色园区主题，组织媒体集中采访，新华社、中新社、北京日报、北京广播电台等多家媒体对“两区”三周年成效进行系列深度报道。②积极实施自贸试验区提升行动。实施高级别自动驾驶示范区3.0建设；“数智ONE”全场景智慧园区落地，上线智慧园区管理平台；</w:t>
      </w:r>
      <w:r>
        <w:rPr>
          <w:rFonts w:hint="eastAsia" w:ascii="仿宋_GB2312" w:hAnsi="仿宋_GB2312" w:eastAsia="仿宋_GB2312" w:cs="仿宋_GB2312"/>
          <w:sz w:val="32"/>
          <w:szCs w:val="32"/>
        </w:rPr>
        <w:t>建设国家绿色发展示范区，打造国家级绿色交易所；全国首家通过“绿色网点”服务认证的金融机构落地自贸试验区。</w:t>
      </w:r>
      <w:r>
        <w:rPr>
          <w:rFonts w:hint="eastAsia" w:ascii="仿宋_GB2312" w:hAnsi="宋体" w:eastAsia="仿宋_GB2312"/>
          <w:sz w:val="32"/>
          <w:szCs w:val="32"/>
        </w:rPr>
        <w:t>③形成改革创新成果新亮点。新增27项全国全市首创性政策，落地35项标志性项目、26个功能型和服务性平台、15个体制机制创新、6项可视化成果等新一批制度创新成果。</w:t>
      </w:r>
      <w:r>
        <w:rPr>
          <w:rFonts w:hint="eastAsia" w:ascii="仿宋_GB2312" w:hAnsi="仿宋_GB2312" w:eastAsia="仿宋_GB2312" w:cs="仿宋_GB2312"/>
          <w:sz w:val="32"/>
          <w:szCs w:val="32"/>
        </w:rPr>
        <w:t>④健全多层次制度创新体系。推动服务业扩大开放综合示范区2.0方案出台；建立项目化推动“两区”政策制度创新机制。五是扎实开展“两区”推介。举办各类活动25场，通过境外“走出去”“请进来”协同、境内线上线下联动，成功推动BJICC咖啡文化博物馆、阿联酋上市企业YNG绿色新能源集团中国总部、瑞士加密谷数字经济产业园区等6个项目落地等。</w:t>
      </w:r>
    </w:p>
    <w:p w14:paraId="5D5B73D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是举办中国国际服务贸易交易会。2023年中国国际服务贸易交易会共举办202场论坛及洽谈活动。其中，10场高峰论坛、102场专题论坛、72场推介洽谈、18场边会活动。83个国家和国际组织设展办会，2400余家企业线下参展，近30万人参展参会，国际化率超过20%，达成各类成果超过1100项。</w:t>
      </w:r>
    </w:p>
    <w:p w14:paraId="4741D3C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（2）打造国际消费中心城市</w:t>
      </w:r>
    </w:p>
    <w:p w14:paraId="547D6F8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一是推进商品消费提档升级。2023年重点任务67项，通过清单化管理，各项任务进展顺利，年度目标完成进度达99.6%。</w:t>
      </w:r>
    </w:p>
    <w:p w14:paraId="5FC0EB2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二是抓活动品牌，营造消费活跃氛围。</w:t>
      </w:r>
      <w:r>
        <w:rPr>
          <w:rFonts w:hint="eastAsia" w:ascii="仿宋_GB2312" w:eastAsia="仿宋_GB2312"/>
          <w:sz w:val="32"/>
          <w:szCs w:val="32"/>
        </w:rPr>
        <w:t>北京消费季升级为京津冀消费季，在消费领域深入落实京津冀协同发展战略首次建立京津冀消费联动机制，举办“2023年全国消费促进月暨京津冀消费季”启动活动，以“全年乐享 全民盛惠”为主题，以“JING彩消费 JING彩生活”为主线，搭建北京消费季“2+6+25+N”活动框架，中国国际时装周、全球首发节等25项市级标志性主题活动全部启动。</w:t>
      </w:r>
    </w:p>
    <w:p w14:paraId="278FD8ED">
      <w:pPr>
        <w:spacing w:line="56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三是抓政策引导，需求供给双向支撑。</w:t>
      </w:r>
      <w:r>
        <w:rPr>
          <w:rFonts w:hint="eastAsia" w:ascii="仿宋_GB2312" w:eastAsia="仿宋_GB2312"/>
          <w:sz w:val="32"/>
          <w:szCs w:val="32"/>
        </w:rPr>
        <w:t>优化实施京彩绿色消费券政策，发放平台由14家扩大到24家，适用商品由46类增加到62类，围绕重要传统节假日及开学季等时间节点，共发放5批消费券，核销消费券101万张，带动绿色智能家居商品销售额53亿元。</w:t>
      </w:r>
    </w:p>
    <w:p w14:paraId="1FC6031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四是挖掘存量促进汽车消费，鼓励新能源车更新换代。继续实施新能源车置换补贴政策,共有2.33万辆车获得更新置换补贴，其中“油换电”车辆达到62%，兑现补贴资金2.1亿元，实现新车销售额超62.3亿元。</w:t>
      </w:r>
    </w:p>
    <w:p w14:paraId="3067EDD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五是孵化培育新消费品牌。依托东城、朝阳的6个挂牌试点孵化基地孵化品牌累计达60个；利用商业流通发展资金支持爱慕、乐纯新消费品牌创新升级。</w:t>
      </w:r>
    </w:p>
    <w:p w14:paraId="5CB8EA08">
      <w:pPr>
        <w:spacing w:line="560" w:lineRule="exact"/>
        <w:ind w:firstLine="640" w:firstLineChars="200"/>
        <w:rPr>
          <w:rFonts w:ascii="仿宋_GB2312" w:hAnsi="宋体" w:eastAsia="仿宋_GB2312"/>
          <w:sz w:val="32"/>
          <w:szCs w:val="32"/>
        </w:rPr>
      </w:pPr>
      <w:r>
        <w:rPr>
          <w:rFonts w:hint="eastAsia" w:ascii="仿宋_GB2312" w:hAnsi="仿宋_GB2312" w:eastAsia="仿宋_GB2312" w:cs="仿宋_GB2312"/>
          <w:sz w:val="32"/>
          <w:szCs w:val="32"/>
        </w:rPr>
        <w:t>（3）</w:t>
      </w:r>
      <w:r>
        <w:rPr>
          <w:rFonts w:hint="eastAsia" w:ascii="仿宋_GB2312" w:hAnsi="宋体" w:eastAsia="仿宋_GB2312"/>
          <w:sz w:val="32"/>
          <w:szCs w:val="32"/>
        </w:rPr>
        <w:t>稳住外贸外资基本盘</w:t>
      </w:r>
    </w:p>
    <w:p w14:paraId="45716919">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sz w:val="32"/>
          <w:szCs w:val="32"/>
        </w:rPr>
        <w:t>一是促进外贸高质量发展。①强化政策支撑。</w:t>
      </w:r>
      <w:r>
        <w:rPr>
          <w:rFonts w:hint="eastAsia" w:ascii="仿宋_GB2312" w:hAnsi="仿宋_GB2312" w:eastAsia="仿宋_GB2312" w:cs="仿宋_GB2312"/>
          <w:sz w:val="32"/>
          <w:szCs w:val="32"/>
          <w:lang w:bidi="ar"/>
        </w:rPr>
        <w:t>出台《北京市关于推动货物贸易稳规模优结构的工作措施》，聚焦强化货物贸易促进拓展市场、强化北京特色优势发展、稳定和扩大重点产品进出口规模、加大财政金融支持力度、加快对外贸易创新发展、优化外贸发展环境等方面，形成24条举措、43项任务，推动外贸稳规模优结构，</w:t>
      </w:r>
      <w:r>
        <w:rPr>
          <w:rFonts w:hint="eastAsia" w:ascii="仿宋_GB2312" w:hAnsi="仿宋_GB2312" w:eastAsia="仿宋_GB2312" w:cs="仿宋_GB2312"/>
          <w:sz w:val="32"/>
          <w:szCs w:val="32"/>
        </w:rPr>
        <w:t>形成“稳外贸”政策的四梁八柱。②跨境电商支持政策促进跨境电商创新发展。新增跨境电商B2B转型企业60余家，约占B2B企业的30%；积极完善综试区线上综合服务平台，提升跨境电商公共服务能力，截止2023年底，平台累计注册用户331家，年内发布跨境电商相关政策信息、新闻资讯194条，处理跨境电商专线客服电话1082个，开展上门推广服务61次，组织平台相关宣传培训活动24次，参会企业超过1000家次，培训人数2000余人次。③</w:t>
      </w:r>
      <w:r>
        <w:rPr>
          <w:rFonts w:hint="eastAsia" w:ascii="仿宋_GB2312" w:hAnsi="仿宋_GB2312" w:eastAsia="仿宋_GB2312" w:cs="仿宋_GB2312"/>
          <w:sz w:val="32"/>
          <w:szCs w:val="32"/>
          <w:lang w:bidi="ar"/>
        </w:rPr>
        <w:t>促进企业开拓“多元化”市场。</w:t>
      </w:r>
      <w:r>
        <w:rPr>
          <w:rFonts w:hint="eastAsia" w:ascii="仿宋_GB2312" w:hAnsi="仿宋_GB2312" w:eastAsia="仿宋_GB2312" w:cs="仿宋_GB2312"/>
          <w:sz w:val="32"/>
          <w:szCs w:val="32"/>
        </w:rPr>
        <w:t>2023年累计支持北京市提升国际化经营能力项目，涉及861家企业申报的2357个项目。</w:t>
      </w:r>
    </w:p>
    <w:p w14:paraId="4BE5FD8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二是推动服务贸易创新发展。①推进服务贸易“试点”向“示范”升级。</w:t>
      </w:r>
      <w:r>
        <w:rPr>
          <w:rFonts w:hint="eastAsia" w:ascii="仿宋_GB2312" w:hAnsi="仿宋_GB2312" w:eastAsia="仿宋_GB2312" w:cs="仿宋_GB2312"/>
          <w:sz w:val="32"/>
          <w:szCs w:val="32"/>
        </w:rPr>
        <w:t>全面梳理北京市全面深化服务贸易创新发展试点工作，深入总结北京市的创新、示范成果，包括数字贸易发展路径探索，金融、文化、互联网信息等重点领域开放，数据、资金、人才等要素跨境流动便利化等，形成终期评估报告并高质量完成试点终期答辩。②推动数字贸易创新发展。指导企业开展数据分类分级和出境自评估，推动全国首批数据合规出境项目在京落地。③组团参加第二届数贸会。组织快手、当红齐天、新石器、美尔斯通等30余家企业参展参会。聚力维度、灵动科技荣获“2023全球数字贸易创新大赛”成果奖；字节跳动、京东、小米等30家企业入选“2023数字贸易企业百强榜”。</w:t>
      </w:r>
    </w:p>
    <w:p w14:paraId="578EFCA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三是开展对外经济合作。</w:t>
      </w:r>
      <w:r>
        <w:rPr>
          <w:rFonts w:hint="eastAsia" w:ascii="仿宋_GB2312" w:hAnsi="仿宋_GB2312" w:eastAsia="仿宋_GB2312" w:cs="仿宋_GB2312"/>
          <w:sz w:val="32"/>
          <w:szCs w:val="32"/>
        </w:rPr>
        <w:t>完善平台政务服务和专业服务，截至年底平台浏览量达到81688次，形成了相对固定用户群体，为“走出去”企业开展国际化经营起到了积极支撑作用；通过“走出去”推介会、“走出去”课堂、“走出去”沙龙共12场次活动搭建多层次全方位的服务体系；精准对接“走出去”企业实际需求，全年先后14批次走访调研对外投资合作企业21家，详细了解企业境外项目的生产、经营状况，存在的困难和问题，听取相关的意见建议。</w:t>
      </w:r>
    </w:p>
    <w:p w14:paraId="43745494">
      <w:pPr>
        <w:spacing w:line="560" w:lineRule="exact"/>
        <w:ind w:firstLine="640" w:firstLineChars="200"/>
        <w:rPr>
          <w:rFonts w:ascii="仿宋_GB2312" w:hAnsi="宋体" w:eastAsia="仿宋_GB2312"/>
          <w:sz w:val="32"/>
          <w:szCs w:val="32"/>
        </w:rPr>
      </w:pPr>
      <w:r>
        <w:rPr>
          <w:rFonts w:hint="eastAsia" w:ascii="仿宋_GB2312" w:hAnsi="仿宋_GB2312" w:eastAsia="仿宋_GB2312" w:cs="仿宋_GB2312"/>
          <w:sz w:val="32"/>
          <w:szCs w:val="32"/>
        </w:rPr>
        <w:t>（4）</w:t>
      </w:r>
      <w:r>
        <w:rPr>
          <w:rFonts w:hint="eastAsia" w:ascii="仿宋_GB2312" w:hAnsi="宋体" w:eastAsia="仿宋_GB2312"/>
          <w:sz w:val="32"/>
          <w:szCs w:val="32"/>
        </w:rPr>
        <w:t>提升服务和保障水平</w:t>
      </w:r>
    </w:p>
    <w:p w14:paraId="65FD55A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w:t>
      </w:r>
      <w:r>
        <w:rPr>
          <w:rFonts w:hint="eastAsia" w:ascii="仿宋_GB2312" w:hAnsi="仿宋_GB2312" w:eastAsia="仿宋_GB2312" w:cs="仿宋_GB2312"/>
          <w:snapToGrid w:val="0"/>
          <w:kern w:val="0"/>
          <w:sz w:val="32"/>
          <w:szCs w:val="32"/>
        </w:rPr>
        <w:t>促进商业流通发展。①重点支持直播电商创新发展、线上线下消费融合发展、农副产品拓展线上销售渠道等3个重点方向，共计支持11个项目。②多措并举推动老字号创新发展。</w:t>
      </w:r>
      <w:r>
        <w:rPr>
          <w:rFonts w:hint="eastAsia" w:ascii="仿宋_GB2312" w:hAnsi="仿宋_GB2312" w:eastAsia="仿宋_GB2312" w:cs="仿宋_GB2312"/>
          <w:sz w:val="32"/>
          <w:szCs w:val="32"/>
          <w:lang w:bidi="ar"/>
        </w:rPr>
        <w:t>积极组织推荐老字号申报商务部中华老字号示范创建，新增22家中华老字号，总数达134家，居全国第二；指导北京老字号协会新认定15家北京老字号，总数达到244家；会同市人力社保局、市文旅局、市人才局，新增认定老字号工匠20名，老字号工匠累计达100名。③重点支持城市运行保障物流、物流技术应用、物流信息化、标准化项目建设、冷链物流等9个项目。</w:t>
      </w:r>
    </w:p>
    <w:p w14:paraId="0773A79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促进生活服务业发展。①促进生活服务业规范健康发展。修订了家政、洗染、家电维修、人像摄影等10余项标准规范，其中3项家政规范、2项洗染规范作为京津冀三地团体标准发布。②提升便民商业设施补助。全年支持</w:t>
      </w:r>
      <w:r>
        <w:rPr>
          <w:rFonts w:hint="eastAsia" w:ascii="仿宋_GB2312" w:hAnsi="仿宋_GB2312" w:eastAsia="仿宋_GB2312" w:cs="仿宋_GB2312"/>
          <w:sz w:val="32"/>
          <w:szCs w:val="40"/>
        </w:rPr>
        <w:t>新建蔬菜零售、便利店、连锁餐厅、早餐、药店、超市等便民商业网点540余个，惠及企业82家。</w:t>
      </w:r>
      <w:r>
        <w:rPr>
          <w:rFonts w:hint="eastAsia" w:ascii="仿宋_GB2312" w:hAnsi="仿宋_GB2312" w:eastAsia="仿宋_GB2312" w:cs="仿宋_GB2312"/>
          <w:sz w:val="32"/>
          <w:szCs w:val="32"/>
        </w:rPr>
        <w:t>新建蔬菜零售网点6个，蔬菜直通车服务社区152个，满足社区居民生鲜需求。新建连锁超市门店11个、农超对接升级改造1个、新建便利店90余个，改善购物环境，提高顾客体验感。新建药店10个，推进医药零售向便利化、精细化、品质化方向发展。③社区菜市场“颜值”“内涵”双提升实现新突破。</w:t>
      </w:r>
      <w:r>
        <w:rPr>
          <w:rFonts w:hint="eastAsia" w:ascii="仿宋_GB2312" w:hAnsi="仿宋_GB2312" w:eastAsia="仿宋_GB2312" w:cs="仿宋_GB2312"/>
          <w:snapToGrid w:val="0"/>
          <w:kern w:val="0"/>
          <w:sz w:val="32"/>
          <w:szCs w:val="32"/>
        </w:rPr>
        <w:t>围绕便民生活圈建设，打造“颜值”“内涵”双提升菜市场。将东城区、西城区、朝阳区、海淀区、丰台区、昌平区作为重点区域，按照“市民有感知”要求，打造了10家颜值高、科技含量高的高品质菜市场。</w:t>
      </w:r>
    </w:p>
    <w:p w14:paraId="3054F768">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2.产出质量</w:t>
      </w:r>
    </w:p>
    <w:p w14:paraId="6C979F39">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整体层面，全面贯彻新发展理念，主动服务和融合新发展格局，坚持以新时代首都发展为统领，以“两区”建设、国际消费中心城市建设为引领，突出提质便民，着力恢复和扩大消费，推进高水平对外开放，持续优化商务营商环境，大力提升市场信心，全力实现质的有效提升和量的合理增长，为全市经济社会高质量发展做出商务贡献。项目层面，各项目按照《北京市商务局大额资金管理办法》（2021年10月修订）、《北京市商务局商务发展资金项目管理办法》（2021年10月修订）中有关项目申报、审核、验收、资金审批、拨付及项目总结跟踪、专项审计等要求执行，产出质量完成情况较好。</w:t>
      </w:r>
    </w:p>
    <w:p w14:paraId="43792D32">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3.产出进度</w:t>
      </w:r>
    </w:p>
    <w:p w14:paraId="640CB21A">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按照年初制定的全年工作计划，在市委、市政府领导和各区部门的大力支持下，各项工作稳步推进，全年工作进度落实执行情况良好。</w:t>
      </w:r>
    </w:p>
    <w:p w14:paraId="7C356434">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4.产出成本</w:t>
      </w:r>
    </w:p>
    <w:p w14:paraId="3BCC9339">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部门整体成本控制在预算范围内。全年预算支出数265,706.87万元。其中，基本支出29,772.26万元，占支出数的11.20%；项目支出235,934.61万元，占支出数的88.80%。</w:t>
      </w:r>
    </w:p>
    <w:p w14:paraId="78978AD4">
      <w:pPr>
        <w:adjustRightInd w:val="0"/>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公用经费方面，2023年初申报公用经费预算3,454.16万元，实际支出公用经费3,157.62万元，占年初申报预算的91.41%。2023年初申报三公经费368.01万元，在执行中牢固树立过紧日子思想，强化三公经费的管理，大力压减非必须、非刚性支出，从严从紧控制三公经费支出，2023年实际发生三公经费284.90万元。</w:t>
      </w:r>
    </w:p>
    <w:p w14:paraId="3C89058A">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（二）效果实现情况分析</w:t>
      </w:r>
    </w:p>
    <w:p w14:paraId="7ACA8B5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1.项目实施效益</w:t>
      </w:r>
    </w:p>
    <w:p w14:paraId="18A1702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（1）主动作为服务国家战略，高质量发展动力源泉持续激发</w:t>
      </w:r>
    </w:p>
    <w:p w14:paraId="7BB862BF">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一是服务高水平扩大开放再辟新局面。</w:t>
      </w:r>
      <w:r>
        <w:rPr>
          <w:rFonts w:hint="eastAsia" w:ascii="仿宋_GB2312" w:hAnsi="宋体" w:eastAsia="仿宋_GB2312"/>
          <w:sz w:val="32"/>
          <w:szCs w:val="32"/>
        </w:rPr>
        <w:t>在改革开放45周年之际，《支持北京深化国家服务业扩大开放综合示范区建设工作方案》获国务院批复同意，迭代推出170余项新的改革创新举措。实施自贸试验区提升行动，成功纳入国家首批自贸试验区对接国际高标准推进制度型开放试点，任务完成率超六成，商务人员出入境便利化等措施落地实施。建立项目化集成式政策制度创新机制，外资企业和外国人场景化集成服务、外资设立演出经纪机构告知承诺制审批等全国首创性政策落地实施。持续推进全产业链开放、全环节改革和政策“会诊”，出台支持美丽健康产业发展、打造国际文物艺术品交易展示中心等政策文件。推动20个“两区”重点园区（组团）出台并实施发展建设三年行动方案，初步搭建园区数字底座，组织实施园区评价。稳步推进综合保税区建设，全国首个以研发创新为特色的中关村综保区获批设立；天竺综保区发展绩效跻身全国前十；大兴国际机场综保区跨境电商医药试点和跨境电商零售出口场所落地。开放改革举措质效齐升，“两区”建设落地实施27项突破性政策，新增落地项目同比增长139%，16项经验案例向全国复制推广。高质量举办2023年服贸会，习近平总书记发表重要视频致辞，展览规模达到15.5万平方米，83个国家和国际组织设展办会，2400余家企业线下参展，近30万人参展参会，成功打造“投资中国年”专场推介等活动，国际化率超过20%，达成各类成果1100余项。圆满完成“一带一路”高峰论坛等重大活动、重要会议机场抵离保障和食材供应服务保障，积极促进与“一带一路”共建国家（地区）经贸合作，双边贸易额占外贸进出口总额的52.7%。</w:t>
      </w:r>
    </w:p>
    <w:p w14:paraId="2BE778BA">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二是服务扩大内需战略扎实有效。</w:t>
      </w:r>
      <w:r>
        <w:rPr>
          <w:rFonts w:hint="eastAsia" w:ascii="仿宋_GB2312" w:hAnsi="宋体" w:eastAsia="仿宋_GB2312"/>
          <w:sz w:val="32"/>
          <w:szCs w:val="32"/>
        </w:rPr>
        <w:t>稳步推进国际消费中心城市建设，新开大型商业设施近240万平方米，“一圈一策”完成崇文门、CBD等15个重点商圈和龙湖北苑天街、五棵松万达广场等重点商场品质提升，THE BOX年轻力中心、DT51成为新晋网红打卡地，西长安中骏·世界城、京西大悦城、西三旗万象汇等新增商业项目亮相京西、京北，消费空间布局更加均衡。促进商文旅体消费融合升级，隆福寺文化街区等入选国家级夜间文化和旅游消费集聚区，奥林匹克公园等4家单位入选国家体育旅游示范基地，发布第三批共6条“深夜食堂”特色餐饮街区。推动梳理“北京礼物”产品体系认证922件商品，引进国际体育赛事52项，万平方米以上场馆举办展会233场，互联网医院增至65家，大型营业性演出、体育赛事、展览展销活动审批时限压缩超80%，40个行业“一业一证”全部上线。</w:t>
      </w:r>
    </w:p>
    <w:p w14:paraId="5E48CFBC">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三是服务京津冀协同发展战略向纵深推进。</w:t>
      </w:r>
      <w:r>
        <w:rPr>
          <w:rFonts w:hint="eastAsia" w:ascii="仿宋_GB2312" w:hAnsi="宋体" w:eastAsia="仿宋_GB2312"/>
          <w:sz w:val="32"/>
          <w:szCs w:val="32"/>
        </w:rPr>
        <w:t>建立三地商务协同体制机制，制定实施《深入推进京津冀商务协同三年工作计划（2023—2025年）》，统筹推动资源共享、消费共融、开放协同、口岸联动。推进区域市场一体化建设，共签《深化京津冀区域市场一体化商务发展合作协议》，首次联合津冀共同启动消费季，开通“河北净菜”进京直通车。签署三地自贸试验区行动方案，探索以清单化方式建立“一地创新、三地互认”政策共享机制，形成第一批政策共享成果。签署《京津冀深化口岸合作框架协议》，持续推广天津港“船边直提”“抵港直装”等作业模式，北京关区进出口整体通关时间处于历史最好水平。天津港至大红门、天津港至平谷海铁联运班列成功开行。北京“单一窗口”推出“京津冀协同服务专区”，实现三地用户体系互认。制定京津冀自贸试验区外商投资指引，开展协同招商推介，2023年服贸会设置联合展区，举办京津冀服务贸易和服务外包协同发展论坛。</w:t>
      </w:r>
    </w:p>
    <w:p w14:paraId="332C029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（2）全力以赴稳增长优结构，行业稳中向好基础更加坚实</w:t>
      </w:r>
    </w:p>
    <w:p w14:paraId="43BD7D61">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一是丰富消费供给成效显著。</w:t>
      </w:r>
      <w:r>
        <w:rPr>
          <w:rFonts w:hint="eastAsia" w:ascii="仿宋_GB2312" w:hAnsi="宋体" w:eastAsia="仿宋_GB2312"/>
          <w:sz w:val="32"/>
          <w:szCs w:val="32"/>
        </w:rPr>
        <w:t>出台商品消费促进政策10项，涵盖汽车、绿色智能产品等大宗消费和首店、老字号等多个领域，直接拉动新车消费超60亿元、绿色智能家居消费53亿元，新增落地品牌首店946家，244家北京老字号年营业收入达1800亿元，300余家新消费品牌企业领跑全国智能科技、国潮玩具等新品牌赛道。举办“2023北京直播电商购物节”，指导认定潘家园、小米等首批13家“北京市特色直播电商基地”，14家企业获评全国电子商务示范企业，列全国首位。加大促消费活动组织力度，举办市级重点活动25项，引导市场主体创新开展活动3000余项。</w:t>
      </w:r>
    </w:p>
    <w:p w14:paraId="64C32462">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二是外贸结构优进优出特征更加突出。</w:t>
      </w:r>
      <w:r>
        <w:rPr>
          <w:rFonts w:hint="eastAsia" w:ascii="仿宋_GB2312" w:hAnsi="宋体" w:eastAsia="仿宋_GB2312"/>
          <w:sz w:val="32"/>
          <w:szCs w:val="32"/>
        </w:rPr>
        <w:t>制定实施推动货物贸易稳规模优结构政策，鼓励企业开拓国际市场。扩大出口信保信贷规模和覆盖面，实施汇率避险支持政策。赴东盟及RCEP市场开展系列推介活动，扩大机电设备等优质产品进口。高水平建设首都国际机场临空经济区进口贸易促进创新示范区，首个国家级跨境贸易便利化标准落地实施，积极推动内外贸一体化试点城市建设，创新开展“保税+消费升级”试点。依托外贸转型升级基地培育汽车出口新优势，“新三样”产品出口中电动载人汽车同比增长12.7%。“双自主”企业出口同比增长9.6%，出口占比增至29.8%。全市跨境电商进出口总额约同比增长约16%,其中跨境电商B2B出口额同比增长超过50%。对外直接投资同比增长17.4%。推动全面深化服务贸易创新发展试点圆满收官，积极争创国家服务贸易创新发展示范区。深入挖掘数字贸易创新成果，中国—新加坡首个全环节跨境贸易数字化实单试点成功落地。创新国家特色服务出口基地支持政策，推广基地建设“北京经验”。完善大兴国际机场口岸功能，进境食用水生动物、进境植物种苗指定监管场地资质落地投用。</w:t>
      </w:r>
    </w:p>
    <w:p w14:paraId="2CD73CBA">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三是稳外资多措并举。</w:t>
      </w:r>
      <w:r>
        <w:rPr>
          <w:rFonts w:hint="eastAsia" w:ascii="仿宋_GB2312" w:hAnsi="宋体" w:eastAsia="仿宋_GB2312"/>
          <w:sz w:val="32"/>
          <w:szCs w:val="32"/>
        </w:rPr>
        <w:t>出台本市进一步加大吸引外商投资力度的若干措施。大力开展招商引资，实施2023年“投资中国年”北京行动。开展25场“两区”建设链接全球推介（招商）系列活动、12场双向投资促进活动，助力“走出去”企业与国际市场互利合作。优化投资发展环境，按期推进外商投资地方立法。创新实施“两区”“亲密伙伴”计划，建立外资企业圆桌会议制度和闭环式诉求解决机制，诉求建议响应办理率100%。</w:t>
      </w:r>
    </w:p>
    <w:p w14:paraId="128A8544">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四是商务服务业稳步恢复。</w:t>
      </w:r>
      <w:r>
        <w:rPr>
          <w:rFonts w:hint="eastAsia" w:ascii="仿宋_GB2312" w:hAnsi="宋体" w:eastAsia="仿宋_GB2312"/>
          <w:sz w:val="32"/>
          <w:szCs w:val="32"/>
        </w:rPr>
        <w:t>统筹建立健全市区两级商务服务业促进体系。联合印发《关于促进本市会展业高质量发展的若干措施》，激发会展引领消费、带动产业、促进投资、便利贸易新动能。积极引进培育新展会项目，中国国际供应链促进博览会等7场展会项目首次在京举办。加大会展人才培养力度，授牌设立北京市会展职业创新发展中心。加强总部政策宣传解读，开展“优环境搭平台促合作”系列活动。</w:t>
      </w:r>
    </w:p>
    <w:p w14:paraId="388118F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（3）持之不懈便民惠企，服务保障能力不断提高</w:t>
      </w:r>
    </w:p>
    <w:p w14:paraId="1B256BB5">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一是民生保障体系更加健全高效。</w:t>
      </w:r>
      <w:r>
        <w:rPr>
          <w:rFonts w:hint="eastAsia" w:ascii="仿宋_GB2312" w:hAnsi="宋体" w:eastAsia="仿宋_GB2312"/>
          <w:sz w:val="32"/>
          <w:szCs w:val="32"/>
        </w:rPr>
        <w:t>建成一刻钟便民生活圈360个，全市覆盖率达42%，服务社区1621个，朝阳、海淀、丰台、大兴、通州等5个区成功入选商务部第三批建设试点。统筹推进物流基地和农产品批发市场建设，房山窦店物流基地一期启动土地开发，昌平物流基地选址方案获批，马坊物流基地农副产品动态储备暨流通加工中心项目竣工验收，北京鲜活农产品流通中心建设运营整改有力。新打造颜值与科技含量俱佳的样板社区菜市场10家。指导各区开展非法、小散乱物流治理，38个年度任务点位治理全部完成。制定县域商业体系建设工作方案，全市13个涉农区实现乡镇商贸服务中心全覆盖。</w:t>
      </w:r>
    </w:p>
    <w:p w14:paraId="3062A985">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二是积极应对“23·7”特大暴雨洪涝灾害。</w:t>
      </w:r>
      <w:r>
        <w:rPr>
          <w:rFonts w:hint="eastAsia" w:ascii="仿宋_GB2312" w:hAnsi="宋体" w:eastAsia="仿宋_GB2312"/>
          <w:sz w:val="32"/>
          <w:szCs w:val="32"/>
        </w:rPr>
        <w:t>有效做好生活必需品保障和应急响应，“23.7”极端强降雨灾害期间及时调运生活和救灾物资11批次，极端天气条件下全市生活必需品市场量足价稳。全力支持灾后恢复重建，同等条件下市级相关政策优先支持受汛情影响严重地区项目，做到“即报、即收”，力求“快审、快享”。积极开展惠民活动，“京彩绿色消费券”政策扩充家具家纺等7类商品，组织企业开展日用消费品优惠促销活动，推动企业对接采购门头沟、房山等区农产品。</w:t>
      </w:r>
    </w:p>
    <w:p w14:paraId="691D60DE">
      <w:pPr>
        <w:spacing w:line="560" w:lineRule="exact"/>
        <w:ind w:firstLine="643" w:firstLineChars="200"/>
        <w:rPr>
          <w:rFonts w:ascii="仿宋_GB2312" w:hAnsi="宋体" w:eastAsia="仿宋_GB2312"/>
          <w:sz w:val="32"/>
          <w:szCs w:val="32"/>
        </w:rPr>
      </w:pPr>
      <w:r>
        <w:rPr>
          <w:rFonts w:hint="eastAsia" w:ascii="仿宋_GB2312" w:hAnsi="宋体" w:eastAsia="仿宋_GB2312"/>
          <w:b/>
          <w:bCs/>
          <w:sz w:val="32"/>
          <w:szCs w:val="32"/>
        </w:rPr>
        <w:t>三是商务营商环境不断优化。</w:t>
      </w:r>
      <w:r>
        <w:rPr>
          <w:rFonts w:hint="eastAsia" w:ascii="仿宋_GB2312" w:hAnsi="宋体" w:eastAsia="仿宋_GB2312"/>
          <w:sz w:val="32"/>
          <w:szCs w:val="32"/>
        </w:rPr>
        <w:t>落实促进跨境贸易便利化专项行动，认真迎接世行评价。开展餐饮、网络零售、超市（便利店）、美发美容、洗染等五个行业场景“6+4”一体化综合监管改革。全部政务服务事项实现“最多跑一次”，接诉即办考核连续12个月并列市级部门第一。持续改善市场秩序和流通环境，开展2023年北京市“诚信兴商”活动,印发《北京市单用途商业预付卡备案及预收资金管理实施办法（试行）》。压实安全生产责任，认真开展安全生产和火灾隐患大排查大整治，有序推动外卖电动自行车安全管理和餐饮燃气等各类专项整治，行业持续安全稳定。</w:t>
      </w:r>
    </w:p>
    <w:p w14:paraId="26FB61A8">
      <w:pPr>
        <w:spacing w:line="560" w:lineRule="exact"/>
        <w:ind w:firstLine="640" w:firstLineChars="200"/>
        <w:rPr>
          <w:rFonts w:hint="eastAsia" w:ascii="仿宋_GB2312" w:hAnsi="宋体" w:eastAsia="仿宋_GB2312"/>
          <w:sz w:val="32"/>
          <w:szCs w:val="32"/>
        </w:rPr>
      </w:pPr>
    </w:p>
    <w:p w14:paraId="6435367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2.满意度</w:t>
      </w:r>
    </w:p>
    <w:p w14:paraId="738ECC1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根据2023年北京市人民政府办公厅年度绩效考评，北京市商务局2023年度绩效考评结果为96.66分，考评等次为“优秀”。</w:t>
      </w:r>
    </w:p>
    <w:p w14:paraId="7C457204">
      <w:pPr>
        <w:pStyle w:val="2"/>
        <w:keepNext w:val="0"/>
        <w:keepLines w:val="0"/>
        <w:spacing w:before="0" w:after="0" w:line="560" w:lineRule="exact"/>
        <w:ind w:firstLine="640" w:firstLineChars="200"/>
        <w:rPr>
          <w:rFonts w:ascii="黑体" w:hAnsi="黑体" w:eastAsia="黑体" w:cs="仿宋_GB2312"/>
          <w:b w:val="0"/>
          <w:bCs w:val="0"/>
          <w:snapToGrid w:val="0"/>
          <w:kern w:val="0"/>
          <w:sz w:val="32"/>
          <w:szCs w:val="32"/>
        </w:rPr>
      </w:pPr>
      <w:r>
        <w:rPr>
          <w:rFonts w:hint="eastAsia" w:ascii="黑体" w:hAnsi="黑体" w:eastAsia="黑体" w:cs="仿宋_GB2312"/>
          <w:b w:val="0"/>
          <w:bCs w:val="0"/>
          <w:snapToGrid w:val="0"/>
          <w:kern w:val="0"/>
          <w:sz w:val="32"/>
          <w:szCs w:val="32"/>
        </w:rPr>
        <w:t>四、预算管理情况</w:t>
      </w:r>
    </w:p>
    <w:p w14:paraId="2BD941D8">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（一）财务管理</w:t>
      </w:r>
    </w:p>
    <w:p w14:paraId="39030F5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1.财务管理制度健全性</w:t>
      </w:r>
    </w:p>
    <w:p w14:paraId="7609DA0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为加强财务管理，市商务局建立了“以预算管理为主线、以资金管控为核心”的内部财务管理控制体系，实现内部财务管理控制体系的系统化与常态化。制定了《北京市商务局内控手册》，以制度形式，明确了预算管理、收入管理、支出管理、货币资金管理、资产管理、采购管理、合同管理等方面要求，对各领域业务流程的控制节点，提出了重要风险点的控制措施，进一步规范了财务管理。</w:t>
      </w:r>
    </w:p>
    <w:p w14:paraId="4C97C0AA">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为全面提升绩效管理精细化、规范化、标准化水平，市商务局制定了《北京市商务局预算绩效管理办法（试行）》（京商财务字</w:t>
      </w:r>
      <w:r>
        <w:rPr>
          <w:rFonts w:hint="eastAsia" w:ascii="仿宋_GB2312" w:hAnsi="宋体" w:eastAsia="仿宋_GB2312" w:cs="宋体"/>
          <w:color w:val="000000"/>
          <w:kern w:val="0"/>
          <w:sz w:val="32"/>
          <w:szCs w:val="32"/>
        </w:rPr>
        <w:t>〔2023〕23号</w:t>
      </w:r>
      <w:r>
        <w:rPr>
          <w:rFonts w:hint="eastAsia" w:ascii="仿宋_GB2312" w:hAnsi="宋体" w:eastAsia="仿宋_GB2312"/>
          <w:sz w:val="32"/>
          <w:szCs w:val="32"/>
        </w:rPr>
        <w:t>），明确了预算绩效管理、绩效评价结果应用及信息公开等工作要求。财务及预算绩效管理相关制度健全。</w:t>
      </w:r>
    </w:p>
    <w:p w14:paraId="3E6E6FBA">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2.资金使用合规性和安全性</w:t>
      </w:r>
    </w:p>
    <w:p w14:paraId="07649BB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部门预算执行过程中，预算管理决策主要依据《北京市商务局内控手册》执行，对项目资金从预算申报、财务收支、资金审批（含审批权限、审批流程的规范）、合同管理、资产管理、预算绩效管理等全过程进行了一系列规范。年度资金决策过程依据充分，资金执行流程规范、资金管理过程留痕清晰，资金的整体使用按照内控管理制度的相关要求落实到位。确保了全年各预算项目在决策、管理、执行过程中的资金安全性与使用严谨性，进一步科学合理地规避了财政资金使用的风险。</w:t>
      </w:r>
    </w:p>
    <w:p w14:paraId="44BEC0E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3.会计基础信息完善性</w:t>
      </w:r>
    </w:p>
    <w:p w14:paraId="5E79F3B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市商务局部门预算报表、部门决算报表、辅助明细账、固定资产台账等资料，清晰、完整地反映了部门基础数据信息和会计信息，基础信息较为完善。</w:t>
      </w:r>
    </w:p>
    <w:p w14:paraId="1A854FE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（二）资产管理</w:t>
      </w:r>
    </w:p>
    <w:p w14:paraId="3984D67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为加强单位固定资产管理，提高固定资产管理水平，市商务局依据《政府会计制度》《北京市行政事业单位固定资产管理暂行办法》《北京市行政事业单位固有资产处置管理暂行办法》及《北京市财政局关于调整北京市市级行政事业单位日常办公设备配置和最低使用年限标准的通知》等有关规定，制定并完善了《北京市商务局固定资产管理实施细则》等办法，明确了固定资产购置、固定资产登记管理、固定资产领用和调配、固定资产管理及维修等相关管理要求。</w:t>
      </w:r>
    </w:p>
    <w:p w14:paraId="67C74DB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在资产管理使用过程中，市商务局设置了固定资产总账、财政动态库和固定资产卡片，并设专人负责固定资产实物管理，登记固定资产卡片，作为固定资产入账凭证之一。截至2023年12月31日，市商务局固定资产数为</w:t>
      </w:r>
      <w:r>
        <w:rPr>
          <w:rFonts w:ascii="仿宋_GB2312" w:hAnsi="宋体" w:eastAsia="仿宋_GB2312"/>
          <w:sz w:val="32"/>
          <w:szCs w:val="32"/>
        </w:rPr>
        <w:t>75317</w:t>
      </w:r>
      <w:r>
        <w:rPr>
          <w:rFonts w:hint="eastAsia" w:ascii="仿宋_GB2312" w:hAnsi="宋体" w:eastAsia="仿宋_GB2312"/>
          <w:sz w:val="32"/>
          <w:szCs w:val="32"/>
        </w:rPr>
        <w:t>项，账面原值为</w:t>
      </w:r>
      <w:r>
        <w:rPr>
          <w:rFonts w:ascii="仿宋_GB2312" w:hAnsi="宋体" w:eastAsia="仿宋_GB2312"/>
          <w:sz w:val="32"/>
          <w:szCs w:val="32"/>
        </w:rPr>
        <w:t>11</w:t>
      </w:r>
      <w:r>
        <w:rPr>
          <w:rFonts w:hint="eastAsia" w:ascii="仿宋_GB2312" w:hAnsi="宋体" w:eastAsia="仿宋_GB2312"/>
          <w:sz w:val="32"/>
          <w:szCs w:val="32"/>
        </w:rPr>
        <w:t>7,</w:t>
      </w:r>
      <w:r>
        <w:rPr>
          <w:rFonts w:ascii="仿宋_GB2312" w:hAnsi="宋体" w:eastAsia="仿宋_GB2312"/>
          <w:sz w:val="32"/>
          <w:szCs w:val="32"/>
        </w:rPr>
        <w:t>826.59</w:t>
      </w:r>
      <w:r>
        <w:rPr>
          <w:rFonts w:hint="eastAsia" w:ascii="仿宋_GB2312" w:hAnsi="宋体" w:eastAsia="仿宋_GB2312"/>
          <w:sz w:val="32"/>
          <w:szCs w:val="32"/>
        </w:rPr>
        <w:t>万元。</w:t>
      </w:r>
    </w:p>
    <w:p w14:paraId="264BFEC0">
      <w:pPr>
        <w:spacing w:line="560" w:lineRule="exact"/>
        <w:ind w:firstLine="640" w:firstLineChars="200"/>
        <w:rPr>
          <w:rFonts w:hint="eastAsia" w:ascii="仿宋_GB2312" w:hAnsi="宋体" w:eastAsia="仿宋_GB2312"/>
          <w:sz w:val="32"/>
          <w:szCs w:val="32"/>
        </w:rPr>
      </w:pPr>
    </w:p>
    <w:p w14:paraId="38DB7E05">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（三）绩效管理</w:t>
      </w:r>
    </w:p>
    <w:p w14:paraId="5DE845B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为了实现2023年度部门整体工作目标，填报了部门整体支出绩效目标申报表，设置了明确的年度总体绩效目标，并结合总体对各项具体指标进行了分解。各项产出指标依据年度重点工作任务、重大事项进行设置，在部门内部进行充分研究后，按照集体决策程序进行研究审批，部门整体支出绩效目标的决策过程规范、有效。</w:t>
      </w:r>
    </w:p>
    <w:p w14:paraId="76BDD00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高度重视绩效管理工作，明确了2023年全年绩效管理的主要工作内容和总体工作计划，不定期对重点项目的进展、绩效实现和资金支出等情况进行了解，对绩效目标不明确或有偏差的及时给予指导完善调整。并加强了重点环节的检查，按照各项目预期的时间节点，对照预算申报时确定的项目内容、绩效目标和实施计划进行重点跟踪检查，认真查找项目组织管理实施中与年度目标计划存在的差异，以及当前已实现的实际绩效与年度目标绩效间的差异，分析差异形成的原因，提出改进的要求。</w:t>
      </w:r>
    </w:p>
    <w:p w14:paraId="641246D0">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（四）结转结余率</w:t>
      </w:r>
    </w:p>
    <w:p w14:paraId="58E28FC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市商务局2023年结转结余资金34,564.19万元，结转结余率11.51%，与2022年结转结余率13.82%相比略有下降。</w:t>
      </w:r>
    </w:p>
    <w:p w14:paraId="36F74499">
      <w:pPr>
        <w:spacing w:line="560" w:lineRule="exact"/>
        <w:ind w:firstLine="640" w:firstLineChars="200"/>
        <w:rPr>
          <w:rFonts w:ascii="楷体_GB2312" w:hAnsi="宋体" w:eastAsia="楷体_GB2312"/>
          <w:sz w:val="32"/>
          <w:szCs w:val="32"/>
        </w:rPr>
      </w:pPr>
      <w:r>
        <w:rPr>
          <w:rFonts w:hint="eastAsia" w:ascii="楷体_GB2312" w:hAnsi="宋体" w:eastAsia="楷体_GB2312"/>
          <w:sz w:val="32"/>
          <w:szCs w:val="32"/>
        </w:rPr>
        <w:t>（五）部门预决算差异率</w:t>
      </w:r>
    </w:p>
    <w:p w14:paraId="772D54D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市商务局2023年初批复预算237,824.72万元，决算300,271.05万元，部门预决算差异率为26.26%，低于市级平均差异率（28.3%）。</w:t>
      </w:r>
    </w:p>
    <w:p w14:paraId="7230BC20">
      <w:pPr>
        <w:spacing w:line="560" w:lineRule="exact"/>
        <w:ind w:firstLine="640" w:firstLineChars="200"/>
        <w:rPr>
          <w:rFonts w:hint="eastAsia" w:ascii="仿宋_GB2312" w:hAnsi="宋体" w:eastAsia="仿宋_GB2312"/>
          <w:sz w:val="32"/>
          <w:szCs w:val="32"/>
        </w:rPr>
      </w:pPr>
    </w:p>
    <w:p w14:paraId="15079E94">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五、总体评价结论</w:t>
      </w:r>
    </w:p>
    <w:p w14:paraId="60D74990">
      <w:pPr>
        <w:spacing w:line="560" w:lineRule="exact"/>
        <w:ind w:firstLine="640" w:firstLineChars="200"/>
        <w:outlineLvl w:val="1"/>
        <w:rPr>
          <w:rFonts w:ascii="楷体_GB2312" w:hAnsi="宋体" w:eastAsia="楷体_GB2312"/>
          <w:sz w:val="32"/>
          <w:szCs w:val="32"/>
        </w:rPr>
      </w:pPr>
      <w:r>
        <w:rPr>
          <w:rFonts w:hint="eastAsia" w:ascii="楷体_GB2312" w:hAnsi="宋体" w:eastAsia="楷体_GB2312"/>
          <w:sz w:val="32"/>
          <w:szCs w:val="32"/>
        </w:rPr>
        <w:t>（一）评价得分情况</w:t>
      </w:r>
    </w:p>
    <w:p w14:paraId="1BA3A95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在市委、市政府领导和各区部门的大力支持下，市商务局全面贯彻新发展理念，主动服务和融合新发展格局，坚持以新时代首都发展为统领，以“两区”建设、国际消费中心城市建设为引领，突出提质便民，着力恢复和扩大消费，推进高水平对外开放，持续优化商务营商环境，大力提升市场信心，全力实现质的有效提升和量的合理增长，为全市经济社会高质量发展做出商务贡献。部门整体综合评价得分92.5分，具体得分情况见下表。</w:t>
      </w:r>
    </w:p>
    <w:p w14:paraId="249F4622">
      <w:pPr>
        <w:adjustRightInd w:val="0"/>
        <w:snapToGrid w:val="0"/>
        <w:spacing w:line="560" w:lineRule="exact"/>
        <w:jc w:val="center"/>
        <w:rPr>
          <w:rFonts w:ascii="黑体" w:hAnsi="黑体" w:eastAsia="黑体"/>
          <w:sz w:val="28"/>
          <w:szCs w:val="28"/>
        </w:rPr>
      </w:pPr>
      <w:r>
        <w:rPr>
          <w:rFonts w:hint="eastAsia" w:ascii="黑体" w:hAnsi="黑体" w:eastAsia="黑体"/>
          <w:sz w:val="28"/>
          <w:szCs w:val="28"/>
        </w:rPr>
        <w:t>综合评价得分情况表</w:t>
      </w:r>
    </w:p>
    <w:tbl>
      <w:tblPr>
        <w:tblStyle w:val="9"/>
        <w:tblW w:w="8080" w:type="dxa"/>
        <w:jc w:val="center"/>
        <w:tblLayout w:type="autofit"/>
        <w:tblCellMar>
          <w:top w:w="0" w:type="dxa"/>
          <w:left w:w="108" w:type="dxa"/>
          <w:bottom w:w="0" w:type="dxa"/>
          <w:right w:w="108" w:type="dxa"/>
        </w:tblCellMar>
      </w:tblPr>
      <w:tblGrid>
        <w:gridCol w:w="1701"/>
        <w:gridCol w:w="2127"/>
        <w:gridCol w:w="10"/>
        <w:gridCol w:w="1407"/>
        <w:gridCol w:w="10"/>
        <w:gridCol w:w="1408"/>
        <w:gridCol w:w="10"/>
        <w:gridCol w:w="1407"/>
      </w:tblGrid>
      <w:tr w14:paraId="5302A8B7">
        <w:tblPrEx>
          <w:tblCellMar>
            <w:top w:w="0" w:type="dxa"/>
            <w:left w:w="108" w:type="dxa"/>
            <w:bottom w:w="0" w:type="dxa"/>
            <w:right w:w="108" w:type="dxa"/>
          </w:tblCellMar>
        </w:tblPrEx>
        <w:trPr>
          <w:trHeight w:val="454" w:hRule="atLeast"/>
          <w:tblHeader/>
          <w:jc w:val="center"/>
        </w:trPr>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0E72460">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一级指标</w:t>
            </w:r>
          </w:p>
        </w:tc>
        <w:tc>
          <w:tcPr>
            <w:tcW w:w="2127" w:type="dxa"/>
            <w:tcBorders>
              <w:top w:val="single" w:color="auto" w:sz="4" w:space="0"/>
              <w:left w:val="nil"/>
              <w:bottom w:val="single" w:color="auto" w:sz="4" w:space="0"/>
              <w:right w:val="single" w:color="auto" w:sz="4" w:space="0"/>
            </w:tcBorders>
            <w:shd w:val="clear" w:color="auto" w:fill="auto"/>
            <w:vAlign w:val="center"/>
          </w:tcPr>
          <w:p w14:paraId="455B3C86">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二级指标</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05B24D6F">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分值</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3958663E">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得分</w:t>
            </w:r>
          </w:p>
        </w:tc>
        <w:tc>
          <w:tcPr>
            <w:tcW w:w="1417" w:type="dxa"/>
            <w:gridSpan w:val="2"/>
            <w:tcBorders>
              <w:top w:val="single" w:color="auto" w:sz="4" w:space="0"/>
              <w:left w:val="nil"/>
              <w:bottom w:val="single" w:color="auto" w:sz="4" w:space="0"/>
              <w:right w:val="single" w:color="auto" w:sz="4" w:space="0"/>
            </w:tcBorders>
            <w:shd w:val="clear" w:color="auto" w:fill="auto"/>
            <w:vAlign w:val="center"/>
          </w:tcPr>
          <w:p w14:paraId="2F75729D">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得分率</w:t>
            </w:r>
          </w:p>
        </w:tc>
      </w:tr>
      <w:tr w14:paraId="05BAB7D1">
        <w:tblPrEx>
          <w:tblCellMar>
            <w:top w:w="0" w:type="dxa"/>
            <w:left w:w="108" w:type="dxa"/>
            <w:bottom w:w="0" w:type="dxa"/>
            <w:right w:w="108" w:type="dxa"/>
          </w:tblCellMar>
        </w:tblPrEx>
        <w:trPr>
          <w:trHeight w:val="454"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14:paraId="00FE3FE1">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w:t>
            </w:r>
          </w:p>
        </w:tc>
        <w:tc>
          <w:tcPr>
            <w:tcW w:w="2127" w:type="dxa"/>
            <w:tcBorders>
              <w:top w:val="nil"/>
              <w:left w:val="nil"/>
              <w:bottom w:val="single" w:color="auto" w:sz="4" w:space="0"/>
              <w:right w:val="single" w:color="auto" w:sz="4" w:space="0"/>
            </w:tcBorders>
            <w:shd w:val="clear" w:color="auto" w:fill="auto"/>
            <w:vAlign w:val="center"/>
          </w:tcPr>
          <w:p w14:paraId="58B76865">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417" w:type="dxa"/>
            <w:gridSpan w:val="2"/>
            <w:tcBorders>
              <w:top w:val="nil"/>
              <w:left w:val="nil"/>
              <w:bottom w:val="single" w:color="auto" w:sz="4" w:space="0"/>
              <w:right w:val="single" w:color="auto" w:sz="4" w:space="0"/>
            </w:tcBorders>
            <w:shd w:val="clear" w:color="auto" w:fill="auto"/>
            <w:noWrap/>
            <w:vAlign w:val="center"/>
          </w:tcPr>
          <w:p w14:paraId="297471C5">
            <w:pPr>
              <w:widowControl/>
              <w:adjustRightInd w:val="0"/>
              <w:snapToGrid w:val="0"/>
              <w:jc w:val="center"/>
              <w:rPr>
                <w:rFonts w:ascii="宋体" w:hAnsi="宋体"/>
                <w:color w:val="000000"/>
                <w:sz w:val="20"/>
                <w:szCs w:val="20"/>
              </w:rPr>
            </w:pPr>
            <w:r>
              <w:rPr>
                <w:rFonts w:hint="eastAsia" w:ascii="宋体" w:hAnsi="宋体"/>
                <w:color w:val="000000"/>
                <w:sz w:val="20"/>
                <w:szCs w:val="20"/>
              </w:rPr>
              <w:t>20</w:t>
            </w:r>
          </w:p>
        </w:tc>
        <w:tc>
          <w:tcPr>
            <w:tcW w:w="14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62724AA">
            <w:pPr>
              <w:widowControl/>
              <w:adjustRightInd w:val="0"/>
              <w:snapToGrid w:val="0"/>
              <w:jc w:val="center"/>
              <w:rPr>
                <w:rFonts w:ascii="宋体" w:hAnsi="宋体"/>
                <w:color w:val="000000"/>
                <w:sz w:val="20"/>
                <w:szCs w:val="20"/>
              </w:rPr>
            </w:pPr>
            <w:r>
              <w:rPr>
                <w:rFonts w:hint="eastAsia" w:ascii="宋体" w:hAnsi="宋体"/>
                <w:color w:val="000000"/>
                <w:sz w:val="20"/>
                <w:szCs w:val="20"/>
              </w:rPr>
              <w:t>17.7</w:t>
            </w:r>
          </w:p>
        </w:tc>
        <w:tc>
          <w:tcPr>
            <w:tcW w:w="1417" w:type="dxa"/>
            <w:gridSpan w:val="2"/>
            <w:tcBorders>
              <w:top w:val="single" w:color="auto" w:sz="4" w:space="0"/>
              <w:left w:val="nil"/>
              <w:bottom w:val="single" w:color="auto" w:sz="4" w:space="0"/>
              <w:right w:val="single" w:color="auto" w:sz="4" w:space="0"/>
            </w:tcBorders>
            <w:shd w:val="clear" w:color="auto" w:fill="auto"/>
            <w:noWrap/>
            <w:vAlign w:val="center"/>
          </w:tcPr>
          <w:p w14:paraId="32731B5E">
            <w:pPr>
              <w:widowControl/>
              <w:adjustRightInd w:val="0"/>
              <w:snapToGrid w:val="0"/>
              <w:jc w:val="center"/>
              <w:rPr>
                <w:rFonts w:ascii="宋体" w:hAnsi="宋体"/>
                <w:color w:val="000000"/>
                <w:sz w:val="20"/>
                <w:szCs w:val="20"/>
              </w:rPr>
            </w:pPr>
            <w:r>
              <w:rPr>
                <w:rFonts w:hint="eastAsia" w:ascii="宋体" w:hAnsi="宋体"/>
                <w:color w:val="000000"/>
                <w:sz w:val="20"/>
                <w:szCs w:val="20"/>
              </w:rPr>
              <w:t>88.5%</w:t>
            </w:r>
          </w:p>
        </w:tc>
      </w:tr>
      <w:tr w14:paraId="73660E57">
        <w:tblPrEx>
          <w:tblCellMar>
            <w:top w:w="0" w:type="dxa"/>
            <w:left w:w="108" w:type="dxa"/>
            <w:bottom w:w="0" w:type="dxa"/>
            <w:right w:w="108" w:type="dxa"/>
          </w:tblCellMar>
        </w:tblPrEx>
        <w:trPr>
          <w:trHeight w:val="454" w:hRule="atLeast"/>
          <w:jc w:val="center"/>
        </w:trPr>
        <w:tc>
          <w:tcPr>
            <w:tcW w:w="1701" w:type="dxa"/>
            <w:vMerge w:val="restart"/>
            <w:tcBorders>
              <w:top w:val="nil"/>
              <w:left w:val="single" w:color="auto" w:sz="4" w:space="0"/>
              <w:bottom w:val="single" w:color="auto" w:sz="4" w:space="0"/>
              <w:right w:val="single" w:color="auto" w:sz="4" w:space="0"/>
            </w:tcBorders>
            <w:shd w:val="clear" w:color="auto" w:fill="auto"/>
            <w:vAlign w:val="center"/>
          </w:tcPr>
          <w:p w14:paraId="129F5628">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w:t>
            </w:r>
          </w:p>
        </w:tc>
        <w:tc>
          <w:tcPr>
            <w:tcW w:w="2127" w:type="dxa"/>
            <w:tcBorders>
              <w:top w:val="nil"/>
              <w:left w:val="nil"/>
              <w:bottom w:val="single" w:color="auto" w:sz="4" w:space="0"/>
              <w:right w:val="single" w:color="auto" w:sz="4" w:space="0"/>
            </w:tcBorders>
            <w:shd w:val="clear" w:color="auto" w:fill="auto"/>
            <w:vAlign w:val="center"/>
          </w:tcPr>
          <w:p w14:paraId="7F456DBB">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小计</w:t>
            </w:r>
          </w:p>
        </w:tc>
        <w:tc>
          <w:tcPr>
            <w:tcW w:w="1417" w:type="dxa"/>
            <w:gridSpan w:val="2"/>
            <w:tcBorders>
              <w:top w:val="nil"/>
              <w:left w:val="nil"/>
              <w:bottom w:val="single" w:color="auto" w:sz="4" w:space="0"/>
              <w:right w:val="single" w:color="auto" w:sz="4" w:space="0"/>
            </w:tcBorders>
            <w:shd w:val="clear" w:color="auto" w:fill="auto"/>
            <w:noWrap/>
            <w:vAlign w:val="center"/>
          </w:tcPr>
          <w:p w14:paraId="1D4A2499">
            <w:pPr>
              <w:widowControl/>
              <w:adjustRightInd w:val="0"/>
              <w:snapToGrid w:val="0"/>
              <w:jc w:val="center"/>
              <w:rPr>
                <w:rFonts w:ascii="宋体" w:hAnsi="宋体"/>
                <w:color w:val="000000"/>
                <w:sz w:val="20"/>
                <w:szCs w:val="20"/>
              </w:rPr>
            </w:pPr>
            <w:r>
              <w:rPr>
                <w:rFonts w:hint="eastAsia" w:ascii="宋体" w:hAnsi="宋体"/>
                <w:color w:val="000000"/>
                <w:sz w:val="20"/>
                <w:szCs w:val="20"/>
              </w:rPr>
              <w:t>60</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3B6C729C">
            <w:pPr>
              <w:widowControl/>
              <w:adjustRightInd w:val="0"/>
              <w:snapToGrid w:val="0"/>
              <w:jc w:val="center"/>
              <w:rPr>
                <w:rFonts w:ascii="宋体" w:hAnsi="宋体"/>
                <w:color w:val="000000"/>
                <w:sz w:val="20"/>
                <w:szCs w:val="20"/>
              </w:rPr>
            </w:pPr>
            <w:r>
              <w:rPr>
                <w:rFonts w:hint="eastAsia" w:ascii="宋体" w:hAnsi="宋体"/>
                <w:color w:val="000000"/>
                <w:sz w:val="20"/>
                <w:szCs w:val="20"/>
              </w:rPr>
              <w:t>56</w:t>
            </w:r>
          </w:p>
        </w:tc>
        <w:tc>
          <w:tcPr>
            <w:tcW w:w="1417" w:type="dxa"/>
            <w:gridSpan w:val="2"/>
            <w:tcBorders>
              <w:top w:val="nil"/>
              <w:left w:val="nil"/>
              <w:bottom w:val="single" w:color="auto" w:sz="4" w:space="0"/>
              <w:right w:val="single" w:color="auto" w:sz="4" w:space="0"/>
            </w:tcBorders>
            <w:shd w:val="clear" w:color="auto" w:fill="auto"/>
            <w:noWrap/>
            <w:vAlign w:val="center"/>
          </w:tcPr>
          <w:p w14:paraId="48401F15">
            <w:pPr>
              <w:widowControl/>
              <w:adjustRightInd w:val="0"/>
              <w:snapToGrid w:val="0"/>
              <w:jc w:val="center"/>
              <w:rPr>
                <w:rFonts w:ascii="宋体" w:hAnsi="宋体"/>
                <w:color w:val="000000"/>
                <w:sz w:val="20"/>
                <w:szCs w:val="20"/>
              </w:rPr>
            </w:pPr>
            <w:r>
              <w:rPr>
                <w:rFonts w:hint="eastAsia" w:ascii="宋体" w:hAnsi="宋体"/>
                <w:color w:val="000000"/>
                <w:sz w:val="20"/>
                <w:szCs w:val="20"/>
              </w:rPr>
              <w:t>93.33%</w:t>
            </w:r>
          </w:p>
        </w:tc>
      </w:tr>
      <w:tr w14:paraId="26BA8D8F">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38B323B">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34A919CA">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产出</w:t>
            </w:r>
          </w:p>
        </w:tc>
        <w:tc>
          <w:tcPr>
            <w:tcW w:w="1417" w:type="dxa"/>
            <w:gridSpan w:val="2"/>
            <w:tcBorders>
              <w:top w:val="nil"/>
              <w:left w:val="nil"/>
              <w:bottom w:val="single" w:color="auto" w:sz="4" w:space="0"/>
              <w:right w:val="single" w:color="auto" w:sz="4" w:space="0"/>
            </w:tcBorders>
            <w:shd w:val="clear" w:color="auto" w:fill="auto"/>
            <w:noWrap/>
            <w:vAlign w:val="center"/>
          </w:tcPr>
          <w:p w14:paraId="3AF219F3">
            <w:pPr>
              <w:widowControl/>
              <w:adjustRightInd w:val="0"/>
              <w:snapToGrid w:val="0"/>
              <w:jc w:val="center"/>
              <w:rPr>
                <w:rFonts w:ascii="宋体" w:hAnsi="宋体"/>
                <w:color w:val="000000"/>
                <w:sz w:val="20"/>
                <w:szCs w:val="20"/>
              </w:rPr>
            </w:pPr>
            <w:r>
              <w:rPr>
                <w:rFonts w:hint="eastAsia" w:ascii="宋体" w:hAnsi="宋体"/>
                <w:color w:val="000000"/>
                <w:sz w:val="20"/>
                <w:szCs w:val="20"/>
              </w:rPr>
              <w:t>30</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377B6279">
            <w:pPr>
              <w:widowControl/>
              <w:adjustRightInd w:val="0"/>
              <w:snapToGrid w:val="0"/>
              <w:jc w:val="center"/>
              <w:rPr>
                <w:rFonts w:ascii="宋体" w:hAnsi="宋体"/>
                <w:color w:val="000000"/>
                <w:sz w:val="20"/>
                <w:szCs w:val="20"/>
              </w:rPr>
            </w:pPr>
            <w:r>
              <w:rPr>
                <w:rFonts w:hint="eastAsia" w:ascii="宋体" w:hAnsi="宋体"/>
                <w:color w:val="000000"/>
                <w:sz w:val="20"/>
                <w:szCs w:val="20"/>
              </w:rPr>
              <w:t>28</w:t>
            </w:r>
          </w:p>
        </w:tc>
        <w:tc>
          <w:tcPr>
            <w:tcW w:w="1417" w:type="dxa"/>
            <w:gridSpan w:val="2"/>
            <w:tcBorders>
              <w:top w:val="nil"/>
              <w:left w:val="nil"/>
              <w:bottom w:val="single" w:color="auto" w:sz="4" w:space="0"/>
              <w:right w:val="single" w:color="auto" w:sz="4" w:space="0"/>
            </w:tcBorders>
            <w:shd w:val="clear" w:color="auto" w:fill="auto"/>
            <w:noWrap/>
            <w:vAlign w:val="center"/>
          </w:tcPr>
          <w:p w14:paraId="717E2B30">
            <w:pPr>
              <w:widowControl/>
              <w:adjustRightInd w:val="0"/>
              <w:snapToGrid w:val="0"/>
              <w:jc w:val="center"/>
              <w:rPr>
                <w:rFonts w:ascii="宋体" w:hAnsi="宋体"/>
                <w:color w:val="000000"/>
                <w:sz w:val="20"/>
                <w:szCs w:val="20"/>
              </w:rPr>
            </w:pPr>
            <w:r>
              <w:rPr>
                <w:rFonts w:hint="eastAsia" w:ascii="宋体" w:hAnsi="宋体"/>
                <w:color w:val="000000"/>
                <w:sz w:val="20"/>
                <w:szCs w:val="20"/>
              </w:rPr>
              <w:t>93.33%</w:t>
            </w:r>
          </w:p>
        </w:tc>
      </w:tr>
      <w:tr w14:paraId="4D160F4B">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623BDA02">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70B2C0D3">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效果</w:t>
            </w:r>
          </w:p>
        </w:tc>
        <w:tc>
          <w:tcPr>
            <w:tcW w:w="1417" w:type="dxa"/>
            <w:gridSpan w:val="2"/>
            <w:tcBorders>
              <w:top w:val="nil"/>
              <w:left w:val="nil"/>
              <w:bottom w:val="single" w:color="auto" w:sz="4" w:space="0"/>
              <w:right w:val="single" w:color="auto" w:sz="4" w:space="0"/>
            </w:tcBorders>
            <w:shd w:val="clear" w:color="auto" w:fill="auto"/>
            <w:noWrap/>
            <w:vAlign w:val="center"/>
          </w:tcPr>
          <w:p w14:paraId="379140A2">
            <w:pPr>
              <w:widowControl/>
              <w:adjustRightInd w:val="0"/>
              <w:snapToGrid w:val="0"/>
              <w:jc w:val="center"/>
              <w:rPr>
                <w:rFonts w:ascii="宋体" w:hAnsi="宋体"/>
                <w:color w:val="000000"/>
                <w:sz w:val="20"/>
                <w:szCs w:val="20"/>
              </w:rPr>
            </w:pPr>
            <w:r>
              <w:rPr>
                <w:rFonts w:hint="eastAsia" w:ascii="宋体" w:hAnsi="宋体"/>
                <w:color w:val="000000"/>
                <w:sz w:val="20"/>
                <w:szCs w:val="20"/>
              </w:rPr>
              <w:t>30</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4EF26719">
            <w:pPr>
              <w:widowControl/>
              <w:adjustRightInd w:val="0"/>
              <w:snapToGrid w:val="0"/>
              <w:jc w:val="center"/>
              <w:rPr>
                <w:rFonts w:ascii="宋体" w:hAnsi="宋体"/>
                <w:color w:val="000000"/>
                <w:sz w:val="20"/>
                <w:szCs w:val="20"/>
              </w:rPr>
            </w:pPr>
            <w:r>
              <w:rPr>
                <w:rFonts w:hint="eastAsia" w:ascii="宋体" w:hAnsi="宋体"/>
                <w:color w:val="000000"/>
                <w:sz w:val="20"/>
                <w:szCs w:val="20"/>
              </w:rPr>
              <w:t>28</w:t>
            </w:r>
          </w:p>
        </w:tc>
        <w:tc>
          <w:tcPr>
            <w:tcW w:w="1417" w:type="dxa"/>
            <w:gridSpan w:val="2"/>
            <w:tcBorders>
              <w:top w:val="nil"/>
              <w:left w:val="nil"/>
              <w:bottom w:val="single" w:color="auto" w:sz="4" w:space="0"/>
              <w:right w:val="single" w:color="auto" w:sz="4" w:space="0"/>
            </w:tcBorders>
            <w:shd w:val="clear" w:color="auto" w:fill="auto"/>
            <w:noWrap/>
            <w:vAlign w:val="center"/>
          </w:tcPr>
          <w:p w14:paraId="255B04A0">
            <w:pPr>
              <w:widowControl/>
              <w:adjustRightInd w:val="0"/>
              <w:snapToGrid w:val="0"/>
              <w:jc w:val="center"/>
              <w:rPr>
                <w:rFonts w:ascii="宋体" w:hAnsi="宋体"/>
                <w:color w:val="000000"/>
                <w:sz w:val="20"/>
                <w:szCs w:val="20"/>
              </w:rPr>
            </w:pPr>
            <w:r>
              <w:rPr>
                <w:rFonts w:hint="eastAsia" w:ascii="宋体" w:hAnsi="宋体"/>
                <w:color w:val="000000"/>
                <w:sz w:val="20"/>
                <w:szCs w:val="20"/>
              </w:rPr>
              <w:t>93.33%</w:t>
            </w:r>
          </w:p>
        </w:tc>
      </w:tr>
      <w:tr w14:paraId="7D67A49A">
        <w:tblPrEx>
          <w:tblCellMar>
            <w:top w:w="0" w:type="dxa"/>
            <w:left w:w="108" w:type="dxa"/>
            <w:bottom w:w="0" w:type="dxa"/>
            <w:right w:w="108" w:type="dxa"/>
          </w:tblCellMar>
        </w:tblPrEx>
        <w:trPr>
          <w:trHeight w:val="454" w:hRule="atLeast"/>
          <w:jc w:val="center"/>
        </w:trPr>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14:paraId="18E00ACF">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预算管理情况</w:t>
            </w:r>
          </w:p>
        </w:tc>
        <w:tc>
          <w:tcPr>
            <w:tcW w:w="2127" w:type="dxa"/>
            <w:tcBorders>
              <w:top w:val="nil"/>
              <w:left w:val="nil"/>
              <w:bottom w:val="single" w:color="auto" w:sz="4" w:space="0"/>
              <w:right w:val="single" w:color="auto" w:sz="4" w:space="0"/>
            </w:tcBorders>
            <w:shd w:val="clear" w:color="auto" w:fill="auto"/>
            <w:vAlign w:val="center"/>
          </w:tcPr>
          <w:p w14:paraId="71BBB784">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小计</w:t>
            </w:r>
          </w:p>
        </w:tc>
        <w:tc>
          <w:tcPr>
            <w:tcW w:w="1417" w:type="dxa"/>
            <w:gridSpan w:val="2"/>
            <w:tcBorders>
              <w:top w:val="nil"/>
              <w:left w:val="nil"/>
              <w:bottom w:val="single" w:color="auto" w:sz="4" w:space="0"/>
              <w:right w:val="single" w:color="auto" w:sz="4" w:space="0"/>
            </w:tcBorders>
            <w:shd w:val="clear" w:color="auto" w:fill="auto"/>
            <w:noWrap/>
            <w:vAlign w:val="center"/>
          </w:tcPr>
          <w:p w14:paraId="210FAE9F">
            <w:pPr>
              <w:widowControl/>
              <w:adjustRightInd w:val="0"/>
              <w:snapToGrid w:val="0"/>
              <w:jc w:val="center"/>
              <w:rPr>
                <w:rFonts w:ascii="宋体" w:hAnsi="宋体"/>
                <w:color w:val="000000"/>
                <w:sz w:val="20"/>
                <w:szCs w:val="20"/>
              </w:rPr>
            </w:pPr>
            <w:r>
              <w:rPr>
                <w:rFonts w:hint="eastAsia" w:ascii="宋体" w:hAnsi="宋体"/>
                <w:color w:val="000000"/>
                <w:sz w:val="20"/>
                <w:szCs w:val="20"/>
              </w:rPr>
              <w:t>20</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71006319">
            <w:pPr>
              <w:widowControl/>
              <w:adjustRightInd w:val="0"/>
              <w:snapToGrid w:val="0"/>
              <w:jc w:val="center"/>
              <w:rPr>
                <w:rFonts w:ascii="宋体" w:hAnsi="宋体"/>
                <w:color w:val="000000"/>
                <w:sz w:val="20"/>
                <w:szCs w:val="20"/>
              </w:rPr>
            </w:pPr>
            <w:r>
              <w:rPr>
                <w:rFonts w:hint="eastAsia" w:ascii="宋体" w:hAnsi="宋体"/>
                <w:color w:val="000000"/>
                <w:sz w:val="20"/>
                <w:szCs w:val="20"/>
              </w:rPr>
              <w:t>18.8</w:t>
            </w:r>
          </w:p>
        </w:tc>
        <w:tc>
          <w:tcPr>
            <w:tcW w:w="1417" w:type="dxa"/>
            <w:gridSpan w:val="2"/>
            <w:tcBorders>
              <w:top w:val="nil"/>
              <w:left w:val="nil"/>
              <w:bottom w:val="single" w:color="auto" w:sz="4" w:space="0"/>
              <w:right w:val="single" w:color="auto" w:sz="4" w:space="0"/>
            </w:tcBorders>
            <w:shd w:val="clear" w:color="auto" w:fill="auto"/>
            <w:noWrap/>
            <w:vAlign w:val="center"/>
          </w:tcPr>
          <w:p w14:paraId="138B3A71">
            <w:pPr>
              <w:widowControl/>
              <w:adjustRightInd w:val="0"/>
              <w:snapToGrid w:val="0"/>
              <w:jc w:val="center"/>
              <w:rPr>
                <w:rFonts w:ascii="宋体" w:hAnsi="宋体"/>
                <w:color w:val="000000"/>
                <w:sz w:val="20"/>
                <w:szCs w:val="20"/>
              </w:rPr>
            </w:pPr>
            <w:r>
              <w:rPr>
                <w:rFonts w:hint="eastAsia" w:ascii="宋体" w:hAnsi="宋体"/>
                <w:color w:val="000000"/>
                <w:sz w:val="20"/>
                <w:szCs w:val="20"/>
              </w:rPr>
              <w:t>94%</w:t>
            </w:r>
          </w:p>
        </w:tc>
      </w:tr>
      <w:tr w14:paraId="4F74ACEB">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24C32648">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0263362C">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财务管理</w:t>
            </w:r>
          </w:p>
        </w:tc>
        <w:tc>
          <w:tcPr>
            <w:tcW w:w="1417" w:type="dxa"/>
            <w:gridSpan w:val="2"/>
            <w:tcBorders>
              <w:top w:val="nil"/>
              <w:left w:val="nil"/>
              <w:bottom w:val="single" w:color="auto" w:sz="4" w:space="0"/>
              <w:right w:val="single" w:color="auto" w:sz="4" w:space="0"/>
            </w:tcBorders>
            <w:shd w:val="clear" w:color="auto" w:fill="auto"/>
            <w:noWrap/>
            <w:vAlign w:val="center"/>
          </w:tcPr>
          <w:p w14:paraId="32D08959">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440E8AEC">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7" w:type="dxa"/>
            <w:gridSpan w:val="2"/>
            <w:tcBorders>
              <w:top w:val="nil"/>
              <w:left w:val="nil"/>
              <w:bottom w:val="single" w:color="auto" w:sz="4" w:space="0"/>
              <w:right w:val="single" w:color="auto" w:sz="4" w:space="0"/>
            </w:tcBorders>
            <w:shd w:val="clear" w:color="auto" w:fill="auto"/>
            <w:noWrap/>
            <w:vAlign w:val="center"/>
          </w:tcPr>
          <w:p w14:paraId="016D8564">
            <w:pPr>
              <w:widowControl/>
              <w:adjustRightInd w:val="0"/>
              <w:snapToGrid w:val="0"/>
              <w:jc w:val="center"/>
              <w:rPr>
                <w:rFonts w:ascii="宋体" w:hAnsi="宋体"/>
                <w:color w:val="000000"/>
                <w:sz w:val="20"/>
                <w:szCs w:val="20"/>
              </w:rPr>
            </w:pPr>
            <w:r>
              <w:rPr>
                <w:rFonts w:hint="eastAsia" w:ascii="宋体" w:hAnsi="宋体"/>
                <w:color w:val="000000"/>
                <w:sz w:val="20"/>
                <w:szCs w:val="20"/>
              </w:rPr>
              <w:t>100%</w:t>
            </w:r>
          </w:p>
        </w:tc>
      </w:tr>
      <w:tr w14:paraId="03B6EFA1">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03AAA2DE">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63A6F8F7">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资产管理</w:t>
            </w:r>
          </w:p>
        </w:tc>
        <w:tc>
          <w:tcPr>
            <w:tcW w:w="1417" w:type="dxa"/>
            <w:gridSpan w:val="2"/>
            <w:tcBorders>
              <w:top w:val="nil"/>
              <w:left w:val="nil"/>
              <w:bottom w:val="single" w:color="auto" w:sz="4" w:space="0"/>
              <w:right w:val="single" w:color="auto" w:sz="4" w:space="0"/>
            </w:tcBorders>
            <w:shd w:val="clear" w:color="auto" w:fill="auto"/>
            <w:noWrap/>
            <w:vAlign w:val="center"/>
          </w:tcPr>
          <w:p w14:paraId="47D71C4B">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71AFFC7E">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7" w:type="dxa"/>
            <w:gridSpan w:val="2"/>
            <w:tcBorders>
              <w:top w:val="nil"/>
              <w:left w:val="nil"/>
              <w:bottom w:val="single" w:color="auto" w:sz="4" w:space="0"/>
              <w:right w:val="single" w:color="auto" w:sz="4" w:space="0"/>
            </w:tcBorders>
            <w:shd w:val="clear" w:color="auto" w:fill="auto"/>
            <w:noWrap/>
            <w:vAlign w:val="center"/>
          </w:tcPr>
          <w:p w14:paraId="0A88771B">
            <w:pPr>
              <w:widowControl/>
              <w:adjustRightInd w:val="0"/>
              <w:snapToGrid w:val="0"/>
              <w:jc w:val="center"/>
              <w:rPr>
                <w:rFonts w:ascii="宋体" w:hAnsi="宋体"/>
                <w:color w:val="000000"/>
                <w:sz w:val="20"/>
                <w:szCs w:val="20"/>
              </w:rPr>
            </w:pPr>
            <w:r>
              <w:rPr>
                <w:rFonts w:hint="eastAsia" w:ascii="宋体" w:hAnsi="宋体"/>
                <w:color w:val="000000"/>
                <w:sz w:val="20"/>
                <w:szCs w:val="20"/>
              </w:rPr>
              <w:t>100%</w:t>
            </w:r>
          </w:p>
        </w:tc>
      </w:tr>
      <w:tr w14:paraId="12437C9D">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5A36D09">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061690A6">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绩效管理</w:t>
            </w:r>
          </w:p>
        </w:tc>
        <w:tc>
          <w:tcPr>
            <w:tcW w:w="1417" w:type="dxa"/>
            <w:gridSpan w:val="2"/>
            <w:tcBorders>
              <w:top w:val="nil"/>
              <w:left w:val="nil"/>
              <w:bottom w:val="single" w:color="auto" w:sz="4" w:space="0"/>
              <w:right w:val="single" w:color="auto" w:sz="4" w:space="0"/>
            </w:tcBorders>
            <w:shd w:val="clear" w:color="auto" w:fill="auto"/>
            <w:noWrap/>
            <w:vAlign w:val="center"/>
          </w:tcPr>
          <w:p w14:paraId="331B0017">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7B4AF112">
            <w:pPr>
              <w:widowControl/>
              <w:adjustRightInd w:val="0"/>
              <w:snapToGrid w:val="0"/>
              <w:jc w:val="center"/>
              <w:rPr>
                <w:rFonts w:ascii="宋体" w:hAnsi="宋体"/>
                <w:color w:val="000000"/>
                <w:sz w:val="20"/>
                <w:szCs w:val="20"/>
              </w:rPr>
            </w:pPr>
            <w:r>
              <w:rPr>
                <w:rFonts w:hint="eastAsia" w:ascii="宋体" w:hAnsi="宋体"/>
                <w:color w:val="000000"/>
                <w:sz w:val="20"/>
                <w:szCs w:val="20"/>
              </w:rPr>
              <w:t>2.8</w:t>
            </w:r>
          </w:p>
        </w:tc>
        <w:tc>
          <w:tcPr>
            <w:tcW w:w="1417" w:type="dxa"/>
            <w:gridSpan w:val="2"/>
            <w:tcBorders>
              <w:top w:val="nil"/>
              <w:left w:val="nil"/>
              <w:bottom w:val="single" w:color="auto" w:sz="4" w:space="0"/>
              <w:right w:val="single" w:color="auto" w:sz="4" w:space="0"/>
            </w:tcBorders>
            <w:shd w:val="clear" w:color="auto" w:fill="auto"/>
            <w:noWrap/>
            <w:vAlign w:val="center"/>
          </w:tcPr>
          <w:p w14:paraId="39A81784">
            <w:pPr>
              <w:widowControl/>
              <w:adjustRightInd w:val="0"/>
              <w:snapToGrid w:val="0"/>
              <w:jc w:val="center"/>
              <w:rPr>
                <w:rFonts w:ascii="宋体" w:hAnsi="宋体"/>
                <w:color w:val="000000"/>
                <w:sz w:val="20"/>
                <w:szCs w:val="20"/>
              </w:rPr>
            </w:pPr>
            <w:r>
              <w:rPr>
                <w:rFonts w:hint="eastAsia" w:ascii="宋体" w:hAnsi="宋体"/>
                <w:color w:val="000000"/>
                <w:sz w:val="20"/>
                <w:szCs w:val="20"/>
              </w:rPr>
              <w:t>70%</w:t>
            </w:r>
          </w:p>
        </w:tc>
      </w:tr>
      <w:tr w14:paraId="6EACEC74">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2E689B0">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067BDFA7">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结转结余率</w:t>
            </w:r>
          </w:p>
        </w:tc>
        <w:tc>
          <w:tcPr>
            <w:tcW w:w="1417" w:type="dxa"/>
            <w:gridSpan w:val="2"/>
            <w:tcBorders>
              <w:top w:val="nil"/>
              <w:left w:val="nil"/>
              <w:bottom w:val="single" w:color="auto" w:sz="4" w:space="0"/>
              <w:right w:val="single" w:color="auto" w:sz="4" w:space="0"/>
            </w:tcBorders>
            <w:shd w:val="clear" w:color="auto" w:fill="auto"/>
            <w:noWrap/>
            <w:vAlign w:val="center"/>
          </w:tcPr>
          <w:p w14:paraId="50EE3CDA">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33A8F1BB">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7" w:type="dxa"/>
            <w:gridSpan w:val="2"/>
            <w:tcBorders>
              <w:top w:val="nil"/>
              <w:left w:val="nil"/>
              <w:bottom w:val="single" w:color="auto" w:sz="4" w:space="0"/>
              <w:right w:val="single" w:color="auto" w:sz="4" w:space="0"/>
            </w:tcBorders>
            <w:shd w:val="clear" w:color="auto" w:fill="auto"/>
            <w:noWrap/>
            <w:vAlign w:val="center"/>
          </w:tcPr>
          <w:p w14:paraId="229EE0F8">
            <w:pPr>
              <w:widowControl/>
              <w:adjustRightInd w:val="0"/>
              <w:snapToGrid w:val="0"/>
              <w:jc w:val="center"/>
              <w:rPr>
                <w:rFonts w:ascii="宋体" w:hAnsi="宋体"/>
                <w:color w:val="000000"/>
                <w:sz w:val="20"/>
                <w:szCs w:val="20"/>
              </w:rPr>
            </w:pPr>
            <w:r>
              <w:rPr>
                <w:rFonts w:hint="eastAsia" w:ascii="宋体" w:hAnsi="宋体"/>
                <w:color w:val="000000"/>
                <w:sz w:val="20"/>
                <w:szCs w:val="20"/>
              </w:rPr>
              <w:t>100%</w:t>
            </w:r>
          </w:p>
        </w:tc>
      </w:tr>
      <w:tr w14:paraId="334E074D">
        <w:tblPrEx>
          <w:tblCellMar>
            <w:top w:w="0" w:type="dxa"/>
            <w:left w:w="108" w:type="dxa"/>
            <w:bottom w:w="0" w:type="dxa"/>
            <w:right w:w="108" w:type="dxa"/>
          </w:tblCellMar>
        </w:tblPrEx>
        <w:trPr>
          <w:trHeight w:val="454"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69480D8">
            <w:pPr>
              <w:widowControl/>
              <w:adjustRightInd w:val="0"/>
              <w:snapToGrid w:val="0"/>
              <w:jc w:val="center"/>
              <w:rPr>
                <w:rFonts w:ascii="宋体" w:hAnsi="宋体" w:cs="宋体"/>
                <w:color w:val="000000"/>
                <w:kern w:val="0"/>
                <w:sz w:val="20"/>
                <w:szCs w:val="20"/>
              </w:rPr>
            </w:pPr>
          </w:p>
        </w:tc>
        <w:tc>
          <w:tcPr>
            <w:tcW w:w="2127" w:type="dxa"/>
            <w:tcBorders>
              <w:top w:val="nil"/>
              <w:left w:val="nil"/>
              <w:bottom w:val="single" w:color="auto" w:sz="4" w:space="0"/>
              <w:right w:val="single" w:color="auto" w:sz="4" w:space="0"/>
            </w:tcBorders>
            <w:shd w:val="clear" w:color="auto" w:fill="auto"/>
            <w:noWrap/>
            <w:vAlign w:val="center"/>
          </w:tcPr>
          <w:p w14:paraId="3DB1D0C1">
            <w:pPr>
              <w:widowControl/>
              <w:adjustRightInd w:val="0"/>
              <w:snapToGrid w:val="0"/>
              <w:jc w:val="center"/>
              <w:rPr>
                <w:rFonts w:ascii="宋体" w:hAnsi="宋体" w:cs="宋体"/>
                <w:color w:val="000000"/>
                <w:kern w:val="0"/>
                <w:sz w:val="20"/>
                <w:szCs w:val="20"/>
              </w:rPr>
            </w:pPr>
            <w:r>
              <w:rPr>
                <w:rFonts w:hint="eastAsia" w:ascii="宋体" w:hAnsi="宋体" w:cs="宋体"/>
                <w:color w:val="000000"/>
                <w:kern w:val="0"/>
                <w:sz w:val="20"/>
                <w:szCs w:val="20"/>
              </w:rPr>
              <w:t>部门预决算差异率</w:t>
            </w:r>
          </w:p>
        </w:tc>
        <w:tc>
          <w:tcPr>
            <w:tcW w:w="1417" w:type="dxa"/>
            <w:gridSpan w:val="2"/>
            <w:tcBorders>
              <w:top w:val="nil"/>
              <w:left w:val="nil"/>
              <w:bottom w:val="single" w:color="auto" w:sz="4" w:space="0"/>
              <w:right w:val="single" w:color="auto" w:sz="4" w:space="0"/>
            </w:tcBorders>
            <w:shd w:val="clear" w:color="auto" w:fill="auto"/>
            <w:noWrap/>
            <w:vAlign w:val="center"/>
          </w:tcPr>
          <w:p w14:paraId="31E19F66">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8" w:type="dxa"/>
            <w:gridSpan w:val="2"/>
            <w:tcBorders>
              <w:top w:val="nil"/>
              <w:left w:val="single" w:color="auto" w:sz="4" w:space="0"/>
              <w:bottom w:val="single" w:color="auto" w:sz="4" w:space="0"/>
              <w:right w:val="single" w:color="auto" w:sz="4" w:space="0"/>
            </w:tcBorders>
            <w:shd w:val="clear" w:color="auto" w:fill="auto"/>
            <w:noWrap/>
            <w:vAlign w:val="center"/>
          </w:tcPr>
          <w:p w14:paraId="4E45F6B3">
            <w:pPr>
              <w:widowControl/>
              <w:adjustRightInd w:val="0"/>
              <w:snapToGrid w:val="0"/>
              <w:jc w:val="center"/>
              <w:rPr>
                <w:rFonts w:ascii="宋体" w:hAnsi="宋体"/>
                <w:color w:val="000000"/>
                <w:sz w:val="20"/>
                <w:szCs w:val="20"/>
              </w:rPr>
            </w:pPr>
            <w:r>
              <w:rPr>
                <w:rFonts w:hint="eastAsia" w:ascii="宋体" w:hAnsi="宋体"/>
                <w:color w:val="000000"/>
                <w:sz w:val="20"/>
                <w:szCs w:val="20"/>
              </w:rPr>
              <w:t>4</w:t>
            </w:r>
          </w:p>
        </w:tc>
        <w:tc>
          <w:tcPr>
            <w:tcW w:w="1417" w:type="dxa"/>
            <w:gridSpan w:val="2"/>
            <w:tcBorders>
              <w:top w:val="nil"/>
              <w:left w:val="nil"/>
              <w:bottom w:val="single" w:color="auto" w:sz="4" w:space="0"/>
              <w:right w:val="single" w:color="auto" w:sz="4" w:space="0"/>
            </w:tcBorders>
            <w:shd w:val="clear" w:color="auto" w:fill="auto"/>
            <w:noWrap/>
            <w:vAlign w:val="center"/>
          </w:tcPr>
          <w:p w14:paraId="5299A763">
            <w:pPr>
              <w:widowControl/>
              <w:adjustRightInd w:val="0"/>
              <w:snapToGrid w:val="0"/>
              <w:jc w:val="center"/>
              <w:rPr>
                <w:rFonts w:ascii="宋体" w:hAnsi="宋体"/>
                <w:color w:val="000000"/>
                <w:sz w:val="20"/>
                <w:szCs w:val="20"/>
              </w:rPr>
            </w:pPr>
            <w:r>
              <w:rPr>
                <w:rFonts w:hint="eastAsia" w:ascii="宋体" w:hAnsi="宋体"/>
                <w:color w:val="000000"/>
                <w:sz w:val="20"/>
                <w:szCs w:val="20"/>
              </w:rPr>
              <w:t>100%</w:t>
            </w:r>
          </w:p>
        </w:tc>
      </w:tr>
      <w:tr w14:paraId="630F051E">
        <w:tblPrEx>
          <w:tblCellMar>
            <w:top w:w="0" w:type="dxa"/>
            <w:left w:w="108" w:type="dxa"/>
            <w:bottom w:w="0" w:type="dxa"/>
            <w:right w:w="108" w:type="dxa"/>
          </w:tblCellMar>
        </w:tblPrEx>
        <w:trPr>
          <w:trHeight w:val="454" w:hRule="atLeast"/>
          <w:jc w:val="center"/>
        </w:trPr>
        <w:tc>
          <w:tcPr>
            <w:tcW w:w="383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6FAAF75">
            <w:pPr>
              <w:widowControl/>
              <w:adjustRightInd w:val="0"/>
              <w:snapToGrid w:val="0"/>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417" w:type="dxa"/>
            <w:gridSpan w:val="2"/>
            <w:tcBorders>
              <w:top w:val="nil"/>
              <w:left w:val="nil"/>
              <w:bottom w:val="single" w:color="auto" w:sz="4" w:space="0"/>
              <w:right w:val="single" w:color="auto" w:sz="4" w:space="0"/>
            </w:tcBorders>
            <w:shd w:val="clear" w:color="auto" w:fill="auto"/>
            <w:noWrap/>
            <w:vAlign w:val="center"/>
          </w:tcPr>
          <w:p w14:paraId="7723DF3F">
            <w:pPr>
              <w:widowControl/>
              <w:adjustRightInd w:val="0"/>
              <w:snapToGrid w:val="0"/>
              <w:jc w:val="center"/>
              <w:rPr>
                <w:rFonts w:ascii="宋体" w:hAnsi="宋体"/>
                <w:b/>
                <w:bCs/>
                <w:color w:val="000000"/>
                <w:sz w:val="20"/>
                <w:szCs w:val="20"/>
              </w:rPr>
            </w:pPr>
            <w:r>
              <w:rPr>
                <w:rFonts w:hint="eastAsia" w:ascii="宋体" w:hAnsi="宋体"/>
                <w:b/>
                <w:bCs/>
                <w:color w:val="000000"/>
                <w:sz w:val="20"/>
                <w:szCs w:val="20"/>
              </w:rPr>
              <w:t>100</w:t>
            </w:r>
          </w:p>
        </w:tc>
        <w:tc>
          <w:tcPr>
            <w:tcW w:w="141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7A3A5E">
            <w:pPr>
              <w:widowControl/>
              <w:adjustRightInd w:val="0"/>
              <w:snapToGrid w:val="0"/>
              <w:jc w:val="center"/>
              <w:rPr>
                <w:rFonts w:ascii="宋体" w:hAnsi="宋体"/>
                <w:b/>
                <w:bCs/>
                <w:color w:val="000000"/>
                <w:sz w:val="20"/>
                <w:szCs w:val="20"/>
              </w:rPr>
            </w:pPr>
            <w:r>
              <w:rPr>
                <w:rFonts w:hint="eastAsia" w:ascii="宋体" w:hAnsi="宋体"/>
                <w:b/>
                <w:bCs/>
                <w:color w:val="000000"/>
                <w:sz w:val="20"/>
                <w:szCs w:val="20"/>
              </w:rPr>
              <w:t>92.5</w:t>
            </w:r>
          </w:p>
        </w:tc>
        <w:tc>
          <w:tcPr>
            <w:tcW w:w="1407" w:type="dxa"/>
            <w:tcBorders>
              <w:top w:val="single" w:color="auto" w:sz="4" w:space="0"/>
              <w:left w:val="nil"/>
              <w:bottom w:val="single" w:color="auto" w:sz="4" w:space="0"/>
              <w:right w:val="single" w:color="auto" w:sz="4" w:space="0"/>
            </w:tcBorders>
            <w:shd w:val="clear" w:color="auto" w:fill="auto"/>
            <w:vAlign w:val="center"/>
          </w:tcPr>
          <w:p w14:paraId="57AB0E49">
            <w:pPr>
              <w:widowControl/>
              <w:adjustRightInd w:val="0"/>
              <w:snapToGrid w:val="0"/>
              <w:jc w:val="center"/>
              <w:rPr>
                <w:rFonts w:ascii="宋体" w:hAnsi="宋体"/>
                <w:b/>
                <w:bCs/>
                <w:color w:val="000000"/>
                <w:sz w:val="20"/>
                <w:szCs w:val="20"/>
              </w:rPr>
            </w:pPr>
            <w:r>
              <w:rPr>
                <w:rFonts w:hint="eastAsia" w:ascii="宋体" w:hAnsi="宋体"/>
                <w:b/>
                <w:bCs/>
                <w:color w:val="000000"/>
                <w:sz w:val="20"/>
                <w:szCs w:val="20"/>
              </w:rPr>
              <w:t>92.5%</w:t>
            </w:r>
          </w:p>
        </w:tc>
      </w:tr>
    </w:tbl>
    <w:p w14:paraId="49BFAC67">
      <w:pPr>
        <w:spacing w:line="560" w:lineRule="exact"/>
        <w:ind w:firstLine="640" w:firstLineChars="200"/>
        <w:outlineLvl w:val="1"/>
        <w:rPr>
          <w:rFonts w:ascii="楷体_GB2312" w:hAnsi="宋体" w:eastAsia="楷体_GB2312"/>
          <w:sz w:val="32"/>
          <w:szCs w:val="32"/>
        </w:rPr>
      </w:pPr>
      <w:r>
        <w:rPr>
          <w:rFonts w:hint="eastAsia" w:ascii="楷体_GB2312" w:hAnsi="宋体" w:eastAsia="楷体_GB2312"/>
          <w:sz w:val="32"/>
          <w:szCs w:val="32"/>
        </w:rPr>
        <w:t>（二）存在的问题及原因分析</w:t>
      </w:r>
    </w:p>
    <w:p w14:paraId="5B1398B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1.绩效目标及指标合理性有待加强</w:t>
      </w:r>
    </w:p>
    <w:p w14:paraId="21D13E6A">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个别项目绩效目标及指标填报科学性仍有所不足。如，绩效目标未清晰呈现核心产出及效益；指标内容不够全面、细化，</w:t>
      </w:r>
      <w:r>
        <w:rPr>
          <w:rFonts w:hint="eastAsia" w:ascii="仿宋_GB2312" w:hAnsi="宋体" w:eastAsia="仿宋_GB2312"/>
          <w:sz w:val="32"/>
          <w:szCs w:val="32"/>
          <w:lang w:eastAsia="zh-CN"/>
        </w:rPr>
        <w:t>指标设置</w:t>
      </w:r>
      <w:r>
        <w:rPr>
          <w:rFonts w:hint="eastAsia" w:ascii="仿宋_GB2312" w:hAnsi="宋体" w:eastAsia="仿宋_GB2312"/>
          <w:sz w:val="32"/>
          <w:szCs w:val="32"/>
        </w:rPr>
        <w:t>不够量化、可考性不足或设定偏低等，绩效管理水平仍有提升空间。</w:t>
      </w:r>
    </w:p>
    <w:p w14:paraId="0D31E22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2.个别指标完成情况未达预期</w:t>
      </w:r>
    </w:p>
    <w:p w14:paraId="3161AC3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由于政策执行周期、年度工作调整等因素影响，支持城市商业综合体企业、支持线下零售及餐饮企业，培育状况网络消费市场政策支持工作等实际完成情况未达预期指标要求。</w:t>
      </w:r>
    </w:p>
    <w:p w14:paraId="21116DD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3.结转结余资金体量偏大，预算执行监控仍需加强</w:t>
      </w:r>
    </w:p>
    <w:p w14:paraId="247BBED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市商务局2023年结转结余率相较于2022年略有下降，但结转结余资金体量偏大，预算执行监控仍需进一步加强。</w:t>
      </w:r>
    </w:p>
    <w:p w14:paraId="4A41F583">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六、措施建议</w:t>
      </w:r>
    </w:p>
    <w:p w14:paraId="1B5B705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1.聚焦绩效目标管理，夯实预算编制基础</w:t>
      </w:r>
    </w:p>
    <w:p w14:paraId="76E9A63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加强对市财政局关于项目预算编报最新政策精神的学习和宣贯，按照“总任务、总产出、总效益”的逻辑，对项目实施内容的核心产出及效益进行归纳，清晰呈现项目主要产出及核心绩效。围绕绩效目标、全面、细化、量化设置绩效指标，提升绩效指标对项目实施的约束和指导作用。合理设定年度指标值，避免指标值与实际完成情况存在较大偏离。夯实预算编制基础，强化支出责任。</w:t>
      </w:r>
    </w:p>
    <w:p w14:paraId="58BE88F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2.加强项目全过程绩效管理，提高资金使用效益</w:t>
      </w:r>
    </w:p>
    <w:p w14:paraId="036F4A7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重点关注年中项目预算执行监控结果，对于预算执行和绩效目标完成进度滞后的项目及时纠偏，对于受客观因素或工作计划调整影响支出计划发生调整的项目及时申请预算调整或核减。</w:t>
      </w:r>
    </w:p>
    <w:p w14:paraId="7BF9A52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3.强化绩效管理意识，注重绩效结果应用</w:t>
      </w:r>
    </w:p>
    <w:p w14:paraId="24EF711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从绩效目标申报、绩效跟踪管理、绩效评价及结果应用等方面，加强部门预算绩效全过程管理，将绩效理念融入到各项工作开展过程中，促进部门绩效管理水平不断提升。</w:t>
      </w:r>
    </w:p>
    <w:p w14:paraId="393BCBCB">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七、附件</w:t>
      </w:r>
    </w:p>
    <w:p w14:paraId="68EA3FC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2023年部门整体绩效评价指标体系评分表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6255417"/>
      <w:docPartObj>
        <w:docPartGallery w:val="autotext"/>
      </w:docPartObj>
    </w:sdtPr>
    <w:sdtEndPr>
      <w:rPr>
        <w:rFonts w:ascii="宋体" w:hAnsi="宋体"/>
        <w:sz w:val="28"/>
        <w:szCs w:val="28"/>
      </w:rPr>
    </w:sdtEndPr>
    <w:sdtContent>
      <w:p w14:paraId="19A2545F">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14:paraId="5DBB356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kODBkZTQ0ZGI5YWZlNmQ4ZDVhZjU2OGFjZmQ2YzUifQ=="/>
  </w:docVars>
  <w:rsids>
    <w:rsidRoot w:val="00F3752B"/>
    <w:rsid w:val="00003AAB"/>
    <w:rsid w:val="000054F7"/>
    <w:rsid w:val="00021345"/>
    <w:rsid w:val="00064894"/>
    <w:rsid w:val="000655EB"/>
    <w:rsid w:val="000B4FC4"/>
    <w:rsid w:val="000B728A"/>
    <w:rsid w:val="000D347D"/>
    <w:rsid w:val="000F31C6"/>
    <w:rsid w:val="00122939"/>
    <w:rsid w:val="00140462"/>
    <w:rsid w:val="00190308"/>
    <w:rsid w:val="001C10A5"/>
    <w:rsid w:val="001D7AF3"/>
    <w:rsid w:val="001E38E6"/>
    <w:rsid w:val="002045E5"/>
    <w:rsid w:val="0021458D"/>
    <w:rsid w:val="002A2194"/>
    <w:rsid w:val="002A2FBE"/>
    <w:rsid w:val="002C32C2"/>
    <w:rsid w:val="002D35E6"/>
    <w:rsid w:val="002F63B8"/>
    <w:rsid w:val="0030697C"/>
    <w:rsid w:val="003270C0"/>
    <w:rsid w:val="00336843"/>
    <w:rsid w:val="0034018F"/>
    <w:rsid w:val="00384DB2"/>
    <w:rsid w:val="003E7EC0"/>
    <w:rsid w:val="003F1897"/>
    <w:rsid w:val="004A0C2B"/>
    <w:rsid w:val="004A2AD0"/>
    <w:rsid w:val="004C1EC4"/>
    <w:rsid w:val="004C2589"/>
    <w:rsid w:val="004D75D9"/>
    <w:rsid w:val="004E0E46"/>
    <w:rsid w:val="00505E21"/>
    <w:rsid w:val="0051327A"/>
    <w:rsid w:val="0054074A"/>
    <w:rsid w:val="00554064"/>
    <w:rsid w:val="005B099E"/>
    <w:rsid w:val="005C11E9"/>
    <w:rsid w:val="00603BFD"/>
    <w:rsid w:val="006352EF"/>
    <w:rsid w:val="006447DD"/>
    <w:rsid w:val="006626E4"/>
    <w:rsid w:val="00664726"/>
    <w:rsid w:val="006A6FE1"/>
    <w:rsid w:val="006E0C26"/>
    <w:rsid w:val="006E734F"/>
    <w:rsid w:val="007114F2"/>
    <w:rsid w:val="00731B36"/>
    <w:rsid w:val="0074005B"/>
    <w:rsid w:val="00767248"/>
    <w:rsid w:val="007D7E66"/>
    <w:rsid w:val="007F0871"/>
    <w:rsid w:val="00813CF3"/>
    <w:rsid w:val="00814894"/>
    <w:rsid w:val="008423FD"/>
    <w:rsid w:val="00867B42"/>
    <w:rsid w:val="0088611B"/>
    <w:rsid w:val="00890A2B"/>
    <w:rsid w:val="008A5849"/>
    <w:rsid w:val="008E73D9"/>
    <w:rsid w:val="009508BB"/>
    <w:rsid w:val="00985AF9"/>
    <w:rsid w:val="009E61EE"/>
    <w:rsid w:val="00A24A60"/>
    <w:rsid w:val="00A35319"/>
    <w:rsid w:val="00A84570"/>
    <w:rsid w:val="00AB505D"/>
    <w:rsid w:val="00AC0F95"/>
    <w:rsid w:val="00AD24B0"/>
    <w:rsid w:val="00AD43A0"/>
    <w:rsid w:val="00AD6647"/>
    <w:rsid w:val="00AF50D1"/>
    <w:rsid w:val="00AF6627"/>
    <w:rsid w:val="00B04C2A"/>
    <w:rsid w:val="00B04CE6"/>
    <w:rsid w:val="00B4388B"/>
    <w:rsid w:val="00B47F27"/>
    <w:rsid w:val="00B94967"/>
    <w:rsid w:val="00BA24DB"/>
    <w:rsid w:val="00BE2F45"/>
    <w:rsid w:val="00BF75A4"/>
    <w:rsid w:val="00C1762D"/>
    <w:rsid w:val="00C23459"/>
    <w:rsid w:val="00C2652F"/>
    <w:rsid w:val="00C327F6"/>
    <w:rsid w:val="00C342B7"/>
    <w:rsid w:val="00CB06B4"/>
    <w:rsid w:val="00CE1865"/>
    <w:rsid w:val="00CF0C93"/>
    <w:rsid w:val="00D446B5"/>
    <w:rsid w:val="00D57A83"/>
    <w:rsid w:val="00D66FED"/>
    <w:rsid w:val="00D77EB8"/>
    <w:rsid w:val="00D82977"/>
    <w:rsid w:val="00DA49DA"/>
    <w:rsid w:val="00DC5CF4"/>
    <w:rsid w:val="00E15FE1"/>
    <w:rsid w:val="00E43146"/>
    <w:rsid w:val="00E4722B"/>
    <w:rsid w:val="00E56008"/>
    <w:rsid w:val="00E970E6"/>
    <w:rsid w:val="00EE0504"/>
    <w:rsid w:val="00EE4F73"/>
    <w:rsid w:val="00F10D5F"/>
    <w:rsid w:val="00F3752B"/>
    <w:rsid w:val="00F47132"/>
    <w:rsid w:val="00F66859"/>
    <w:rsid w:val="00F93FF9"/>
    <w:rsid w:val="00FB7891"/>
    <w:rsid w:val="00FC1B51"/>
    <w:rsid w:val="00FD2929"/>
    <w:rsid w:val="1AFC742E"/>
    <w:rsid w:val="3CFF5434"/>
    <w:rsid w:val="3FFF322B"/>
    <w:rsid w:val="45AF60DC"/>
    <w:rsid w:val="5AC46D13"/>
    <w:rsid w:val="5C5D34B4"/>
    <w:rsid w:val="5D393E52"/>
    <w:rsid w:val="6FFAE407"/>
    <w:rsid w:val="77FFC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unhideWhenUsed/>
    <w:qFormat/>
    <w:uiPriority w:val="99"/>
    <w:pPr>
      <w:spacing w:after="120"/>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9"/>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qFormat/>
    <w:uiPriority w:val="99"/>
    <w:rPr>
      <w:sz w:val="18"/>
      <w:szCs w:val="18"/>
    </w:rPr>
  </w:style>
  <w:style w:type="character" w:customStyle="1" w:styleId="14">
    <w:name w:val="页脚 字符"/>
    <w:basedOn w:val="11"/>
    <w:link w:val="5"/>
    <w:qFormat/>
    <w:uiPriority w:val="99"/>
    <w:rPr>
      <w:sz w:val="18"/>
      <w:szCs w:val="18"/>
    </w:rPr>
  </w:style>
  <w:style w:type="character" w:customStyle="1" w:styleId="15">
    <w:name w:val="标题 1 字符"/>
    <w:basedOn w:val="11"/>
    <w:qFormat/>
    <w:uiPriority w:val="9"/>
    <w:rPr>
      <w:rFonts w:ascii="Times New Roman" w:hAnsi="Times New Roman" w:eastAsia="宋体" w:cs="Times New Roman"/>
      <w:b/>
      <w:bCs/>
      <w:kern w:val="44"/>
      <w:sz w:val="44"/>
      <w:szCs w:val="44"/>
    </w:rPr>
  </w:style>
  <w:style w:type="character" w:customStyle="1" w:styleId="16">
    <w:name w:val="标题 1 字符1"/>
    <w:link w:val="2"/>
    <w:qFormat/>
    <w:uiPriority w:val="0"/>
    <w:rPr>
      <w:rFonts w:ascii="Times New Roman" w:hAnsi="Times New Roman" w:eastAsia="宋体" w:cs="Times New Roman"/>
      <w:b/>
      <w:bCs/>
      <w:kern w:val="44"/>
      <w:sz w:val="44"/>
      <w:szCs w:val="44"/>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
    <w:name w:val="批注文字 字符"/>
    <w:basedOn w:val="11"/>
    <w:link w:val="3"/>
    <w:qFormat/>
    <w:uiPriority w:val="99"/>
    <w:rPr>
      <w:rFonts w:ascii="Times New Roman" w:hAnsi="Times New Roman" w:eastAsia="宋体" w:cs="Times New Roman"/>
      <w:szCs w:val="24"/>
    </w:rPr>
  </w:style>
  <w:style w:type="character" w:customStyle="1" w:styleId="19">
    <w:name w:val="批注主题 字符"/>
    <w:basedOn w:val="18"/>
    <w:link w:val="8"/>
    <w:semiHidden/>
    <w:qFormat/>
    <w:uiPriority w:val="99"/>
    <w:rPr>
      <w:rFonts w:ascii="Times New Roman" w:hAnsi="Times New Roman" w:eastAsia="宋体" w:cs="Times New Roman"/>
      <w:b/>
      <w:bCs/>
      <w:szCs w:val="24"/>
    </w:rPr>
  </w:style>
  <w:style w:type="paragraph" w:customStyle="1" w:styleId="2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13264</Words>
  <Characters>13933</Characters>
  <Lines>98</Lines>
  <Paragraphs>27</Paragraphs>
  <TotalTime>1</TotalTime>
  <ScaleCrop>false</ScaleCrop>
  <LinksUpToDate>false</LinksUpToDate>
  <CharactersWithSpaces>13939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2024-05-15T00:52:00Z</dcterms:created>
  <dc:creator>用户</dc:creator>
  <cp:lastModifiedBy>站仕</cp:lastModifiedBy>
  <dcterms:modified xsi:type="dcterms:W3CDTF">2024-08-27T08:24:00Z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CCB863DAA94C442F81B0E622351A2FC8_13</vt:lpwstr>
  </property>
</Properties>
</file>