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BD" w:rsidRPr="00675C48" w:rsidRDefault="00B858BD" w:rsidP="00B858BD">
      <w:pPr>
        <w:rPr>
          <w:rFonts w:ascii="黑体" w:eastAsia="黑体" w:hint="eastAsia"/>
          <w:bCs/>
          <w:color w:val="000000"/>
          <w:sz w:val="28"/>
          <w:szCs w:val="28"/>
        </w:rPr>
      </w:pPr>
      <w:r w:rsidRPr="00675C48">
        <w:rPr>
          <w:rFonts w:ascii="黑体" w:eastAsia="黑体" w:hint="eastAsia"/>
          <w:bCs/>
          <w:color w:val="000000"/>
          <w:sz w:val="28"/>
          <w:szCs w:val="28"/>
        </w:rPr>
        <w:t>附件10</w:t>
      </w:r>
    </w:p>
    <w:p w:rsidR="00C34310" w:rsidRDefault="00C34310" w:rsidP="00C34310">
      <w:pPr>
        <w:jc w:val="center"/>
        <w:rPr>
          <w:b/>
          <w:bCs/>
          <w:color w:val="000000"/>
          <w:sz w:val="30"/>
          <w:szCs w:val="30"/>
        </w:rPr>
      </w:pPr>
      <w:r>
        <w:rPr>
          <w:rFonts w:hint="eastAsia"/>
          <w:b/>
          <w:bCs/>
          <w:color w:val="000000"/>
          <w:sz w:val="30"/>
          <w:szCs w:val="30"/>
        </w:rPr>
        <w:t>商务部</w:t>
      </w:r>
      <w:r>
        <w:rPr>
          <w:rFonts w:hint="eastAsia"/>
          <w:b/>
          <w:bCs/>
          <w:color w:val="000000"/>
          <w:sz w:val="30"/>
          <w:szCs w:val="30"/>
        </w:rPr>
        <w:t xml:space="preserve"> </w:t>
      </w:r>
      <w:r>
        <w:rPr>
          <w:rFonts w:hint="eastAsia"/>
          <w:b/>
          <w:bCs/>
          <w:color w:val="000000"/>
          <w:sz w:val="30"/>
          <w:szCs w:val="30"/>
        </w:rPr>
        <w:t>工业和信息化部</w:t>
      </w:r>
      <w:r>
        <w:rPr>
          <w:rFonts w:hint="eastAsia"/>
          <w:b/>
          <w:bCs/>
          <w:color w:val="000000"/>
          <w:sz w:val="30"/>
          <w:szCs w:val="30"/>
        </w:rPr>
        <w:t xml:space="preserve"> </w:t>
      </w:r>
      <w:r>
        <w:rPr>
          <w:rFonts w:hint="eastAsia"/>
          <w:b/>
          <w:bCs/>
          <w:color w:val="000000"/>
          <w:sz w:val="30"/>
          <w:szCs w:val="30"/>
        </w:rPr>
        <w:t>海关总署</w:t>
      </w:r>
      <w:r>
        <w:rPr>
          <w:rFonts w:hint="eastAsia"/>
          <w:b/>
          <w:bCs/>
          <w:color w:val="000000"/>
          <w:sz w:val="30"/>
          <w:szCs w:val="30"/>
        </w:rPr>
        <w:t xml:space="preserve"> </w:t>
      </w:r>
      <w:r>
        <w:rPr>
          <w:rFonts w:hint="eastAsia"/>
          <w:b/>
          <w:bCs/>
          <w:color w:val="000000"/>
          <w:sz w:val="30"/>
          <w:szCs w:val="30"/>
        </w:rPr>
        <w:t>质检总局</w:t>
      </w:r>
      <w:r>
        <w:rPr>
          <w:rFonts w:hint="eastAsia"/>
          <w:b/>
          <w:bCs/>
          <w:color w:val="000000"/>
          <w:sz w:val="30"/>
          <w:szCs w:val="30"/>
        </w:rPr>
        <w:t xml:space="preserve"> </w:t>
      </w:r>
      <w:r>
        <w:rPr>
          <w:rFonts w:hint="eastAsia"/>
          <w:b/>
          <w:bCs/>
          <w:color w:val="000000"/>
          <w:sz w:val="30"/>
          <w:szCs w:val="30"/>
        </w:rPr>
        <w:t>国家认监委</w:t>
      </w:r>
    </w:p>
    <w:p w:rsidR="00F332D0" w:rsidRDefault="00C34310" w:rsidP="00C34310">
      <w:pPr>
        <w:jc w:val="center"/>
      </w:pPr>
      <w:r>
        <w:rPr>
          <w:rFonts w:hint="eastAsia"/>
          <w:b/>
          <w:bCs/>
          <w:color w:val="000000"/>
          <w:sz w:val="30"/>
          <w:szCs w:val="30"/>
        </w:rPr>
        <w:t>关于进一步规范汽车和摩托车产品出口秩序的通知</w:t>
      </w:r>
    </w:p>
    <w:p w:rsidR="00C34310" w:rsidRDefault="00C34310" w:rsidP="00C34310">
      <w:pPr>
        <w:jc w:val="center"/>
        <w:rPr>
          <w:color w:val="404040"/>
          <w:sz w:val="28"/>
          <w:szCs w:val="28"/>
        </w:rPr>
      </w:pPr>
      <w:r>
        <w:rPr>
          <w:rFonts w:hint="eastAsia"/>
          <w:color w:val="404040"/>
          <w:sz w:val="28"/>
          <w:szCs w:val="28"/>
        </w:rPr>
        <w:t>商产发</w:t>
      </w:r>
      <w:r>
        <w:rPr>
          <w:rFonts w:hint="eastAsia"/>
          <w:color w:val="404040"/>
          <w:sz w:val="28"/>
          <w:szCs w:val="28"/>
        </w:rPr>
        <w:t>[2012]318</w:t>
      </w:r>
      <w:r>
        <w:rPr>
          <w:rFonts w:hint="eastAsia"/>
          <w:color w:val="404040"/>
          <w:sz w:val="28"/>
          <w:szCs w:val="28"/>
        </w:rPr>
        <w:t>号</w:t>
      </w:r>
    </w:p>
    <w:p w:rsidR="00C34310" w:rsidRDefault="00C34310" w:rsidP="00C34310">
      <w:pPr>
        <w:jc w:val="center"/>
      </w:pPr>
    </w:p>
    <w:p w:rsidR="00C34310" w:rsidRDefault="00C34310" w:rsidP="00C34310">
      <w:pPr>
        <w:widowControl/>
        <w:spacing w:after="280" w:line="408" w:lineRule="auto"/>
        <w:ind w:firstLineChars="200" w:firstLine="560"/>
        <w:jc w:val="left"/>
        <w:rPr>
          <w:rFonts w:ascii="宋体" w:hAnsi="宋体" w:cs="宋体"/>
          <w:color w:val="404040"/>
          <w:kern w:val="0"/>
          <w:sz w:val="28"/>
          <w:szCs w:val="28"/>
        </w:rPr>
      </w:pPr>
      <w:r w:rsidRPr="00C34310">
        <w:rPr>
          <w:rFonts w:ascii="宋体" w:hAnsi="宋体" w:cs="宋体" w:hint="eastAsia"/>
          <w:color w:val="404040"/>
          <w:kern w:val="0"/>
          <w:sz w:val="28"/>
          <w:szCs w:val="28"/>
        </w:rPr>
        <w:t>为进一步转变汽车和摩托车出口发展方式，提高出口增长的质量和效益，促进产业健康发展，依据《对外贸易法》、《海关法》、《商检法》、《汽车产业发展政策》、《认证认可条例》，商务部、工业和信息化部、海关总署、质检总局、国家认监委决定对汽车和摩托车（含非公路用两轮</w:t>
      </w:r>
      <w:r w:rsidRPr="00B858BD">
        <w:rPr>
          <w:rFonts w:ascii="宋体" w:hAnsi="宋体" w:cs="宋体" w:hint="eastAsia"/>
          <w:b/>
          <w:color w:val="404040"/>
          <w:kern w:val="0"/>
          <w:sz w:val="28"/>
          <w:szCs w:val="28"/>
        </w:rPr>
        <w:t>摩托车、</w:t>
      </w:r>
      <w:r w:rsidRPr="00C34310">
        <w:rPr>
          <w:rFonts w:ascii="宋体" w:hAnsi="宋体" w:cs="宋体" w:hint="eastAsia"/>
          <w:color w:val="404040"/>
          <w:kern w:val="0"/>
          <w:sz w:val="28"/>
          <w:szCs w:val="28"/>
        </w:rPr>
        <w:t>全地形车，产品目录见附件1、2）生产企业实行出口资质管理，对出口经营企业实行生产企业授权经营管理，并对生产企业授权实行分类管理。现将有关事项通知如下：</w:t>
      </w:r>
    </w:p>
    <w:p w:rsidR="00C34310" w:rsidRDefault="00C34310" w:rsidP="00C34310">
      <w:pPr>
        <w:widowControl/>
        <w:spacing w:after="280" w:line="408" w:lineRule="auto"/>
        <w:ind w:firstLineChars="200" w:firstLine="562"/>
        <w:jc w:val="left"/>
        <w:rPr>
          <w:rFonts w:ascii="宋体" w:hAnsi="宋体" w:cs="宋体"/>
          <w:color w:val="404040"/>
          <w:kern w:val="0"/>
          <w:sz w:val="28"/>
          <w:szCs w:val="28"/>
        </w:rPr>
      </w:pPr>
      <w:r w:rsidRPr="00C34310">
        <w:rPr>
          <w:rFonts w:ascii="宋体" w:hAnsi="宋体" w:cs="宋体" w:hint="eastAsia"/>
          <w:b/>
          <w:bCs/>
          <w:color w:val="404040"/>
          <w:kern w:val="0"/>
          <w:sz w:val="28"/>
          <w:szCs w:val="28"/>
        </w:rPr>
        <w:t>一、申报出口资质的生产企业应具备的条件</w:t>
      </w:r>
      <w:r w:rsidRPr="00C34310">
        <w:rPr>
          <w:rFonts w:ascii="宋体" w:hAnsi="宋体" w:cs="宋体" w:hint="eastAsia"/>
          <w:color w:val="404040"/>
          <w:kern w:val="0"/>
          <w:sz w:val="28"/>
          <w:szCs w:val="28"/>
        </w:rPr>
        <w:t xml:space="preserve"> </w:t>
      </w:r>
      <w:r w:rsidRPr="00C34310">
        <w:rPr>
          <w:rFonts w:ascii="宋体" w:hAnsi="宋体" w:cs="宋体" w:hint="eastAsia"/>
          <w:color w:val="404040"/>
          <w:kern w:val="0"/>
          <w:sz w:val="28"/>
          <w:szCs w:val="28"/>
        </w:rPr>
        <w:br/>
        <w:t xml:space="preserve">　　（一）汽车、摩托车生产企业应列入工业和信息化部《车辆生产企业及产品公告》；具备有效的国家强制性产品认证（CCC认证）。 </w:t>
      </w:r>
      <w:r w:rsidRPr="00C34310">
        <w:rPr>
          <w:rFonts w:ascii="宋体" w:hAnsi="宋体" w:cs="宋体" w:hint="eastAsia"/>
          <w:color w:val="404040"/>
          <w:kern w:val="0"/>
          <w:sz w:val="28"/>
          <w:szCs w:val="28"/>
        </w:rPr>
        <w:br/>
        <w:t xml:space="preserve">　　（二）低速汽车生产企业应列入工业和信息化部《车辆生产企业及产品公告》。 </w:t>
      </w:r>
    </w:p>
    <w:p w:rsidR="00C34310" w:rsidRDefault="00C34310" w:rsidP="00C34310">
      <w:pPr>
        <w:widowControl/>
        <w:spacing w:after="280" w:line="408" w:lineRule="auto"/>
        <w:ind w:firstLine="555"/>
        <w:jc w:val="left"/>
        <w:rPr>
          <w:rFonts w:ascii="宋体" w:hAnsi="宋体" w:cs="宋体"/>
          <w:b/>
          <w:bCs/>
          <w:color w:val="404040"/>
          <w:kern w:val="0"/>
          <w:sz w:val="28"/>
          <w:szCs w:val="28"/>
        </w:rPr>
      </w:pPr>
      <w:r w:rsidRPr="00C34310">
        <w:rPr>
          <w:rFonts w:ascii="宋体" w:hAnsi="宋体" w:cs="宋体" w:hint="eastAsia"/>
          <w:color w:val="404040"/>
          <w:kern w:val="0"/>
          <w:sz w:val="28"/>
          <w:szCs w:val="28"/>
        </w:rPr>
        <w:t xml:space="preserve">（三）非公路用两轮摩托车生产企业应具备有效的ISO9000企业质量管理体系认证；获得国家推行的自愿性产品认证或相关国际认证。 </w:t>
      </w:r>
      <w:r w:rsidRPr="00C34310">
        <w:rPr>
          <w:rFonts w:ascii="宋体" w:hAnsi="宋体" w:cs="宋体" w:hint="eastAsia"/>
          <w:color w:val="404040"/>
          <w:kern w:val="0"/>
          <w:sz w:val="28"/>
          <w:szCs w:val="28"/>
        </w:rPr>
        <w:br/>
        <w:t xml:space="preserve">　　（四）全地形车生产企业应具备有效的ISO9000企业质量管理体系认证；获得相关国际认证。 </w:t>
      </w:r>
      <w:r w:rsidRPr="00C34310">
        <w:rPr>
          <w:rFonts w:ascii="宋体" w:hAnsi="宋体" w:cs="宋体" w:hint="eastAsia"/>
          <w:color w:val="404040"/>
          <w:kern w:val="0"/>
          <w:sz w:val="28"/>
          <w:szCs w:val="28"/>
        </w:rPr>
        <w:br/>
        <w:t xml:space="preserve">　　（五）所有产品类别的生产企业须具备与出口保有量相适应的维</w:t>
      </w:r>
      <w:r w:rsidRPr="00C34310">
        <w:rPr>
          <w:rFonts w:ascii="宋体" w:hAnsi="宋体" w:cs="宋体" w:hint="eastAsia"/>
          <w:color w:val="404040"/>
          <w:kern w:val="0"/>
          <w:sz w:val="28"/>
          <w:szCs w:val="28"/>
        </w:rPr>
        <w:lastRenderedPageBreak/>
        <w:t xml:space="preserve">修服务能力。 </w:t>
      </w:r>
      <w:r w:rsidRPr="00C34310">
        <w:rPr>
          <w:rFonts w:ascii="宋体" w:hAnsi="宋体" w:cs="宋体" w:hint="eastAsia"/>
          <w:color w:val="404040"/>
          <w:kern w:val="0"/>
          <w:sz w:val="28"/>
          <w:szCs w:val="28"/>
        </w:rPr>
        <w:br/>
        <w:t xml:space="preserve">　　</w:t>
      </w:r>
      <w:r w:rsidRPr="00C34310">
        <w:rPr>
          <w:rFonts w:ascii="宋体" w:hAnsi="宋体" w:cs="宋体" w:hint="eastAsia"/>
          <w:b/>
          <w:bCs/>
          <w:color w:val="404040"/>
          <w:kern w:val="0"/>
          <w:sz w:val="28"/>
          <w:szCs w:val="28"/>
        </w:rPr>
        <w:t>二、分类管理</w:t>
      </w:r>
      <w:r w:rsidRPr="00C34310">
        <w:rPr>
          <w:rFonts w:ascii="宋体" w:hAnsi="宋体" w:cs="宋体" w:hint="eastAsia"/>
          <w:color w:val="404040"/>
          <w:kern w:val="0"/>
          <w:sz w:val="28"/>
          <w:szCs w:val="28"/>
        </w:rPr>
        <w:t xml:space="preserve"> </w:t>
      </w:r>
      <w:r w:rsidRPr="00C34310">
        <w:rPr>
          <w:rFonts w:ascii="宋体" w:hAnsi="宋体" w:cs="宋体" w:hint="eastAsia"/>
          <w:color w:val="404040"/>
          <w:kern w:val="0"/>
          <w:sz w:val="28"/>
          <w:szCs w:val="28"/>
        </w:rPr>
        <w:br/>
        <w:t xml:space="preserve">　　（一）自2013年起，商务部、工业和信息化部、海关总署、质检总局、国家认监委依据对生产企业上报的境外售后维修服务网点 的审核情况、企业出口规模，对生产企业出口授权实行分类管理。 </w:t>
      </w:r>
      <w:r w:rsidRPr="00C34310">
        <w:rPr>
          <w:rFonts w:ascii="宋体" w:hAnsi="宋体" w:cs="宋体" w:hint="eastAsia"/>
          <w:color w:val="404040"/>
          <w:kern w:val="0"/>
          <w:sz w:val="28"/>
          <w:szCs w:val="28"/>
        </w:rPr>
        <w:br/>
        <w:t xml:space="preserve">　　符合出口资质条件的生产企业，可根据自身所属企业分类，授权一定数量的出口经营企业(含企业集团所属的进出口公司)出口本企业的产品；双方须在授权约定中对出口产品的质量保证、售后服务等连带法律责任予以明确。 </w:t>
      </w:r>
      <w:r w:rsidRPr="00C34310">
        <w:rPr>
          <w:rFonts w:ascii="宋体" w:hAnsi="宋体" w:cs="宋体" w:hint="eastAsia"/>
          <w:color w:val="404040"/>
          <w:kern w:val="0"/>
          <w:sz w:val="28"/>
          <w:szCs w:val="28"/>
        </w:rPr>
        <w:br/>
        <w:t xml:space="preserve">　　（二）2013年汽车和摩托车生产企业分类管理标准。</w:t>
      </w:r>
      <w:r w:rsidRPr="00C34310">
        <w:rPr>
          <w:rFonts w:ascii="宋体" w:hAnsi="宋体" w:cs="宋体" w:hint="eastAsia"/>
          <w:color w:val="404040"/>
          <w:kern w:val="0"/>
          <w:sz w:val="28"/>
          <w:szCs w:val="28"/>
        </w:rPr>
        <w:br/>
        <w:t xml:space="preserve">　　1、汽车生产企业。</w:t>
      </w:r>
      <w:r w:rsidRPr="00C34310">
        <w:rPr>
          <w:rFonts w:ascii="宋体" w:hAnsi="宋体" w:cs="宋体" w:hint="eastAsia"/>
          <w:color w:val="404040"/>
          <w:kern w:val="0"/>
          <w:sz w:val="28"/>
          <w:szCs w:val="28"/>
        </w:rPr>
        <w:br/>
        <w:t xml:space="preserve">　　一类企业（可授权出口经营企业7家）：境外售后维修服务网点达到50个；且年出口（2011年出口量或以2012年上半年所折算的全年出口量，下同）达到10000辆的乘用车、载货车、低速汽车生产企业，年出口达到2000辆的大中型客车生产企业。</w:t>
      </w:r>
      <w:r w:rsidRPr="00C34310">
        <w:rPr>
          <w:rFonts w:ascii="宋体" w:hAnsi="宋体" w:cs="宋体" w:hint="eastAsia"/>
          <w:color w:val="404040"/>
          <w:kern w:val="0"/>
          <w:sz w:val="28"/>
          <w:szCs w:val="28"/>
        </w:rPr>
        <w:br/>
        <w:t xml:space="preserve">　　二类企业（可授权出口经营企业5家）：境外售后维修服务网点达到10个；且年出口达到2000辆的乘用车生产企业、年出口达到1000辆的大中型客车生产企业、年出口达到5000辆的载货车、低速汽车生产企业。</w:t>
      </w:r>
      <w:r w:rsidRPr="00C34310">
        <w:rPr>
          <w:rFonts w:ascii="宋体" w:hAnsi="宋体" w:cs="宋体" w:hint="eastAsia"/>
          <w:color w:val="404040"/>
          <w:kern w:val="0"/>
          <w:sz w:val="28"/>
          <w:szCs w:val="28"/>
        </w:rPr>
        <w:br/>
        <w:t xml:space="preserve">　　三类企业（可授权出口经营企业3家）：境外售后维修服务网点达到5个；且年出口达到500辆的乘用车生产企业、年出口达到200辆的大中型客车生产企业、年出口达到1000辆的载货车、低速汽车</w:t>
      </w:r>
      <w:r w:rsidRPr="00C34310">
        <w:rPr>
          <w:rFonts w:ascii="宋体" w:hAnsi="宋体" w:cs="宋体" w:hint="eastAsia"/>
          <w:color w:val="404040"/>
          <w:kern w:val="0"/>
          <w:sz w:val="28"/>
          <w:szCs w:val="28"/>
        </w:rPr>
        <w:lastRenderedPageBreak/>
        <w:t>生产企业。</w:t>
      </w:r>
      <w:r w:rsidRPr="00C34310">
        <w:rPr>
          <w:rFonts w:ascii="宋体" w:hAnsi="宋体" w:cs="宋体" w:hint="eastAsia"/>
          <w:color w:val="404040"/>
          <w:kern w:val="0"/>
          <w:sz w:val="28"/>
          <w:szCs w:val="28"/>
        </w:rPr>
        <w:br/>
        <w:t xml:space="preserve">　　四类企业（可授权出口经营企业1家）：不满足第一、二、三类企业要求，但建有境外售后维修服务网点的汽车生产企业。</w:t>
      </w:r>
      <w:r w:rsidRPr="00C34310">
        <w:rPr>
          <w:rFonts w:ascii="宋体" w:hAnsi="宋体" w:cs="宋体" w:hint="eastAsia"/>
          <w:color w:val="404040"/>
          <w:kern w:val="0"/>
          <w:sz w:val="28"/>
          <w:szCs w:val="28"/>
        </w:rPr>
        <w:br/>
        <w:t xml:space="preserve">　　五类企业（仅限自营出口）：未建有境外售后维修服务网点的汽车生产企业。</w:t>
      </w:r>
      <w:r w:rsidRPr="00C34310">
        <w:rPr>
          <w:rFonts w:ascii="宋体" w:hAnsi="宋体" w:cs="宋体" w:hint="eastAsia"/>
          <w:color w:val="404040"/>
          <w:kern w:val="0"/>
          <w:sz w:val="28"/>
          <w:szCs w:val="28"/>
        </w:rPr>
        <w:br/>
        <w:t xml:space="preserve">　　2、摩托车（含非公路用两轮摩托车、全地形车）生产企业。</w:t>
      </w:r>
      <w:r w:rsidRPr="00C34310">
        <w:rPr>
          <w:rFonts w:ascii="宋体" w:hAnsi="宋体" w:cs="宋体" w:hint="eastAsia"/>
          <w:color w:val="404040"/>
          <w:kern w:val="0"/>
          <w:sz w:val="28"/>
          <w:szCs w:val="28"/>
        </w:rPr>
        <w:br/>
        <w:t xml:space="preserve">　　一类企业（可授权5家出口经营企业）：境外售后维修服务网点达到10个，且年出口达到100000辆的摩托车和非公路用两轮摩托车生产企业；境外售后维修服务网点达到5个、且年出口达到10000辆的全地形车生产企业。</w:t>
      </w:r>
      <w:r w:rsidRPr="00C34310">
        <w:rPr>
          <w:rFonts w:ascii="宋体" w:hAnsi="宋体" w:cs="宋体" w:hint="eastAsia"/>
          <w:color w:val="404040"/>
          <w:kern w:val="0"/>
          <w:sz w:val="28"/>
          <w:szCs w:val="28"/>
        </w:rPr>
        <w:br/>
        <w:t xml:space="preserve">　　二类企业（可授权3家出口经营企业）：境外售后维修服务网点达到5个，且年出口达到10000辆的摩托车和非公路用两轮摩托车生产企业；境外售后维修服务网点达到3个，且年出口达到5000辆的全地形车生产企业。</w:t>
      </w:r>
      <w:r w:rsidRPr="00C34310">
        <w:rPr>
          <w:rFonts w:ascii="宋体" w:hAnsi="宋体" w:cs="宋体" w:hint="eastAsia"/>
          <w:color w:val="404040"/>
          <w:kern w:val="0"/>
          <w:sz w:val="28"/>
          <w:szCs w:val="28"/>
        </w:rPr>
        <w:br/>
        <w:t xml:space="preserve">　　三类企业（可授权1家出口经营企业）：不满足第一、二类企业要求，但建有境外售后维修服务网点的摩托车生产企业。</w:t>
      </w:r>
      <w:r w:rsidRPr="00C34310">
        <w:rPr>
          <w:rFonts w:ascii="宋体" w:hAnsi="宋体" w:cs="宋体" w:hint="eastAsia"/>
          <w:color w:val="404040"/>
          <w:kern w:val="0"/>
          <w:sz w:val="28"/>
          <w:szCs w:val="28"/>
        </w:rPr>
        <w:br/>
        <w:t xml:space="preserve">　　四类企业（仅限自营出口）：未建有境外售后维修服务网点的摩托车生产企业。</w:t>
      </w:r>
      <w:r w:rsidRPr="00C34310">
        <w:rPr>
          <w:rFonts w:ascii="宋体" w:hAnsi="宋体" w:cs="宋体" w:hint="eastAsia"/>
          <w:color w:val="404040"/>
          <w:kern w:val="0"/>
          <w:sz w:val="28"/>
          <w:szCs w:val="28"/>
        </w:rPr>
        <w:br/>
        <w:t xml:space="preserve">　　对于同时生产多种汽车或摩托车车型的企业，以其可授权出口经营企业最多的汽车或摩托车车型为参照标准，确定其所属企业分类。</w:t>
      </w:r>
      <w:r w:rsidRPr="00C34310">
        <w:rPr>
          <w:rFonts w:ascii="宋体" w:hAnsi="宋体" w:cs="宋体" w:hint="eastAsia"/>
          <w:color w:val="404040"/>
          <w:kern w:val="0"/>
          <w:sz w:val="28"/>
          <w:szCs w:val="28"/>
        </w:rPr>
        <w:br/>
        <w:t xml:space="preserve">　　（三）商务部会同工业和信息化部、海关总署、质检总局、国家认监委，依据出口实际情况，适时调整分类管理标准。2014年起，</w:t>
      </w:r>
      <w:r w:rsidRPr="00C34310">
        <w:rPr>
          <w:rFonts w:ascii="宋体" w:hAnsi="宋体" w:cs="宋体" w:hint="eastAsia"/>
          <w:color w:val="404040"/>
          <w:kern w:val="0"/>
          <w:sz w:val="28"/>
          <w:szCs w:val="28"/>
        </w:rPr>
        <w:lastRenderedPageBreak/>
        <w:t>未建有境外售后维修服务网点的生产企业不得授权或自营出口。</w:t>
      </w:r>
      <w:r w:rsidRPr="00C34310">
        <w:rPr>
          <w:rFonts w:ascii="宋体" w:hAnsi="宋体" w:cs="宋体" w:hint="eastAsia"/>
          <w:color w:val="404040"/>
          <w:kern w:val="0"/>
          <w:sz w:val="28"/>
          <w:szCs w:val="28"/>
        </w:rPr>
        <w:br/>
        <w:t xml:space="preserve">　　</w:t>
      </w:r>
      <w:r w:rsidRPr="00C34310">
        <w:rPr>
          <w:rFonts w:ascii="宋体" w:hAnsi="宋体" w:cs="宋体" w:hint="eastAsia"/>
          <w:b/>
          <w:bCs/>
          <w:color w:val="404040"/>
          <w:kern w:val="0"/>
          <w:sz w:val="28"/>
          <w:szCs w:val="28"/>
        </w:rPr>
        <w:t>三、申报程序</w:t>
      </w:r>
      <w:r w:rsidRPr="00C34310">
        <w:rPr>
          <w:rFonts w:ascii="宋体" w:hAnsi="宋体" w:cs="宋体" w:hint="eastAsia"/>
          <w:color w:val="404040"/>
          <w:kern w:val="0"/>
          <w:sz w:val="28"/>
          <w:szCs w:val="28"/>
        </w:rPr>
        <w:t xml:space="preserve"> </w:t>
      </w:r>
      <w:r w:rsidRPr="00C34310">
        <w:rPr>
          <w:rFonts w:ascii="宋体" w:hAnsi="宋体" w:cs="宋体" w:hint="eastAsia"/>
          <w:color w:val="404040"/>
          <w:kern w:val="0"/>
          <w:sz w:val="28"/>
          <w:szCs w:val="28"/>
        </w:rPr>
        <w:br/>
        <w:t xml:space="preserve">　　（一）符合条件的生产企业须于每年9月10日前，将申请表（见附件3、4）、海关报关单复印件等出口证明材料、企业境外售后维修服务网点总体建设及变动情况，报至所在省、自治区、直辖市、计划单列市及新疆生产建设兵团商务主管部门(机电办)。</w:t>
      </w:r>
      <w:r w:rsidRPr="00C34310">
        <w:rPr>
          <w:rFonts w:ascii="宋体" w:hAnsi="宋体" w:cs="宋体" w:hint="eastAsia"/>
          <w:color w:val="404040"/>
          <w:kern w:val="0"/>
          <w:sz w:val="28"/>
          <w:szCs w:val="28"/>
        </w:rPr>
        <w:br/>
        <w:t xml:space="preserve">　　（二）各地商务主管部门(机电办)对企业材料进行初核并征求当地海关意见后，将相关材料和汇总表（见附件5、6）于</w:t>
      </w:r>
      <w:smartTag w:uri="urn:schemas-microsoft-com:office:smarttags" w:element="chsdate">
        <w:smartTagPr>
          <w:attr w:name="IsROCDate" w:val="False"/>
          <w:attr w:name="IsLunarDate" w:val="False"/>
          <w:attr w:name="Day" w:val="30"/>
          <w:attr w:name="Month" w:val="9"/>
          <w:attr w:name="Year" w:val="2012"/>
        </w:smartTagPr>
        <w:r w:rsidRPr="00C34310">
          <w:rPr>
            <w:rFonts w:ascii="宋体" w:hAnsi="宋体" w:cs="宋体" w:hint="eastAsia"/>
            <w:color w:val="404040"/>
            <w:kern w:val="0"/>
            <w:sz w:val="28"/>
            <w:szCs w:val="28"/>
          </w:rPr>
          <w:t>9月30日前</w:t>
        </w:r>
      </w:smartTag>
      <w:r w:rsidRPr="00C34310">
        <w:rPr>
          <w:rFonts w:ascii="宋体" w:hAnsi="宋体" w:cs="宋体" w:hint="eastAsia"/>
          <w:color w:val="404040"/>
          <w:kern w:val="0"/>
          <w:sz w:val="28"/>
          <w:szCs w:val="28"/>
        </w:rPr>
        <w:t>报至商务部(产业司)。</w:t>
      </w:r>
      <w:r w:rsidRPr="00C34310">
        <w:rPr>
          <w:rFonts w:ascii="宋体" w:hAnsi="宋体" w:cs="宋体" w:hint="eastAsia"/>
          <w:color w:val="404040"/>
          <w:kern w:val="0"/>
          <w:sz w:val="28"/>
          <w:szCs w:val="28"/>
        </w:rPr>
        <w:br/>
        <w:t xml:space="preserve">　　（三）商务部会同工业和信息化部、海关总署、质检总局、国家认监委于每年10月公示下一年度《符合申领汽车和摩托车出口许可证条件企业名单》(以下简称《名单》)，并于12月正式发布。</w:t>
      </w:r>
      <w:r w:rsidRPr="00C34310">
        <w:rPr>
          <w:rFonts w:ascii="宋体" w:hAnsi="宋体" w:cs="宋体" w:hint="eastAsia"/>
          <w:color w:val="404040"/>
          <w:kern w:val="0"/>
          <w:sz w:val="28"/>
          <w:szCs w:val="28"/>
        </w:rPr>
        <w:br/>
        <w:t xml:space="preserve">　　</w:t>
      </w:r>
      <w:r w:rsidRPr="00C34310">
        <w:rPr>
          <w:rFonts w:ascii="宋体" w:hAnsi="宋体" w:cs="宋体" w:hint="eastAsia"/>
          <w:b/>
          <w:bCs/>
          <w:color w:val="404040"/>
          <w:kern w:val="0"/>
          <w:sz w:val="28"/>
          <w:szCs w:val="28"/>
        </w:rPr>
        <w:t>四、资质管理的执行</w:t>
      </w:r>
      <w:r w:rsidRPr="00C34310">
        <w:rPr>
          <w:rFonts w:ascii="宋体" w:hAnsi="宋体" w:cs="宋体" w:hint="eastAsia"/>
          <w:color w:val="404040"/>
          <w:kern w:val="0"/>
          <w:sz w:val="28"/>
          <w:szCs w:val="28"/>
        </w:rPr>
        <w:t xml:space="preserve"> </w:t>
      </w:r>
      <w:r w:rsidRPr="00C34310">
        <w:rPr>
          <w:rFonts w:ascii="宋体" w:hAnsi="宋体" w:cs="宋体" w:hint="eastAsia"/>
          <w:color w:val="404040"/>
          <w:kern w:val="0"/>
          <w:sz w:val="28"/>
          <w:szCs w:val="28"/>
        </w:rPr>
        <w:br/>
        <w:t xml:space="preserve">　　（一）每年12月15日起，商务部授权的许可证发证机构凭《名单》开始发放下一年度出口许可证。出口许可证适用于一般贸易、加工贸易、边境贸易、捐赠方式出口的汽车和摩托车。</w:t>
      </w:r>
      <w:r w:rsidRPr="00C34310">
        <w:rPr>
          <w:rFonts w:ascii="宋体" w:hAnsi="宋体" w:cs="宋体" w:hint="eastAsia"/>
          <w:color w:val="404040"/>
          <w:kern w:val="0"/>
          <w:sz w:val="28"/>
          <w:szCs w:val="28"/>
        </w:rPr>
        <w:br/>
        <w:t xml:space="preserve">　　（二）企业持合同、出口许可证等必要凭证和批准文件向出入境检验检疫机构报检。出口汽车和摩托车产品应在生产地检验，并通过出入境检验检疫机构对生产企业质量保证工作的检查。</w:t>
      </w:r>
      <w:r w:rsidRPr="00C34310">
        <w:rPr>
          <w:rFonts w:ascii="宋体" w:hAnsi="宋体" w:cs="宋体" w:hint="eastAsia"/>
          <w:color w:val="404040"/>
          <w:kern w:val="0"/>
          <w:sz w:val="28"/>
          <w:szCs w:val="28"/>
        </w:rPr>
        <w:br/>
        <w:t xml:space="preserve">　　进口国对汽车和摩托车产品有准入的法律法规要求的，企业须向出入境检验检疫机构提交所出口产品符合相应准入要求的证明；进口国准入法律法规不明确的，出入境检验检疫机构按照质检总局指定的</w:t>
      </w:r>
      <w:r w:rsidRPr="00C34310">
        <w:rPr>
          <w:rFonts w:ascii="宋体" w:hAnsi="宋体" w:cs="宋体" w:hint="eastAsia"/>
          <w:color w:val="404040"/>
          <w:kern w:val="0"/>
          <w:sz w:val="28"/>
          <w:szCs w:val="28"/>
        </w:rPr>
        <w:lastRenderedPageBreak/>
        <w:t>相关技术规范实施检验。</w:t>
      </w:r>
      <w:r w:rsidRPr="00C34310">
        <w:rPr>
          <w:rFonts w:ascii="宋体" w:hAnsi="宋体" w:cs="宋体" w:hint="eastAsia"/>
          <w:color w:val="404040"/>
          <w:kern w:val="0"/>
          <w:sz w:val="28"/>
          <w:szCs w:val="28"/>
        </w:rPr>
        <w:br/>
        <w:t xml:space="preserve">　　（三）企业持出口许可证和检验检疫机构签发的《出境货物通关单》向海关办理出口手续。</w:t>
      </w:r>
      <w:r w:rsidRPr="00C34310">
        <w:rPr>
          <w:rFonts w:ascii="宋体" w:hAnsi="宋体" w:cs="宋体" w:hint="eastAsia"/>
          <w:color w:val="404040"/>
          <w:kern w:val="0"/>
          <w:sz w:val="28"/>
          <w:szCs w:val="28"/>
        </w:rPr>
        <w:br/>
        <w:t xml:space="preserve">　　（四）商务部会同工业和信息化部、海关总署、质检总局、国家认监委，根据出口企业在海外市场的经营情况、《车辆生产企业及产品公告》管理情况、出口产品日常检验和监管情况、企业强制性产品认证情况，适时提出预警，并动态调整《名单》。</w:t>
      </w:r>
      <w:r w:rsidRPr="00C34310">
        <w:rPr>
          <w:rFonts w:ascii="宋体" w:hAnsi="宋体" w:cs="宋体" w:hint="eastAsia"/>
          <w:color w:val="404040"/>
          <w:kern w:val="0"/>
          <w:sz w:val="28"/>
          <w:szCs w:val="28"/>
        </w:rPr>
        <w:br/>
        <w:t xml:space="preserve">　　（五）企业有下列行为之一者，视情况可对其进行通报、警告、暂停或取消从事汽车或摩托车出口资格。</w:t>
      </w:r>
      <w:r w:rsidRPr="00C34310">
        <w:rPr>
          <w:rFonts w:ascii="宋体" w:hAnsi="宋体" w:cs="宋体" w:hint="eastAsia"/>
          <w:color w:val="404040"/>
          <w:kern w:val="0"/>
          <w:sz w:val="28"/>
          <w:szCs w:val="28"/>
        </w:rPr>
        <w:br/>
        <w:t xml:space="preserve">　　1、提供虚假资质证明材料的；</w:t>
      </w:r>
      <w:r w:rsidRPr="00C34310">
        <w:rPr>
          <w:rFonts w:ascii="宋体" w:hAnsi="宋体" w:cs="宋体" w:hint="eastAsia"/>
          <w:color w:val="404040"/>
          <w:kern w:val="0"/>
          <w:sz w:val="28"/>
          <w:szCs w:val="28"/>
        </w:rPr>
        <w:br/>
        <w:t xml:space="preserve">　　2、其产品被相关部门认定为侵犯知识产权的；</w:t>
      </w:r>
      <w:r w:rsidRPr="00C34310">
        <w:rPr>
          <w:rFonts w:ascii="宋体" w:hAnsi="宋体" w:cs="宋体" w:hint="eastAsia"/>
          <w:color w:val="404040"/>
          <w:kern w:val="0"/>
          <w:sz w:val="28"/>
          <w:szCs w:val="28"/>
        </w:rPr>
        <w:br/>
        <w:t xml:space="preserve">　　3、伪造生产企业授权证明的；</w:t>
      </w:r>
      <w:r w:rsidRPr="00C34310">
        <w:rPr>
          <w:rFonts w:ascii="宋体" w:hAnsi="宋体" w:cs="宋体" w:hint="eastAsia"/>
          <w:color w:val="404040"/>
          <w:kern w:val="0"/>
          <w:sz w:val="28"/>
          <w:szCs w:val="28"/>
        </w:rPr>
        <w:br/>
        <w:t xml:space="preserve">　　4、出口非自产或非授权企业产品的；</w:t>
      </w:r>
      <w:r w:rsidRPr="00C34310">
        <w:rPr>
          <w:rFonts w:ascii="宋体" w:hAnsi="宋体" w:cs="宋体" w:hint="eastAsia"/>
          <w:color w:val="404040"/>
          <w:kern w:val="0"/>
          <w:sz w:val="28"/>
          <w:szCs w:val="28"/>
        </w:rPr>
        <w:br/>
        <w:t xml:space="preserve">　　5、出口产品在国外有重大质量事件并对我国出口造成重大不良影响的；</w:t>
      </w:r>
      <w:r w:rsidRPr="00C34310">
        <w:rPr>
          <w:rFonts w:ascii="宋体" w:hAnsi="宋体" w:cs="宋体" w:hint="eastAsia"/>
          <w:color w:val="404040"/>
          <w:kern w:val="0"/>
          <w:sz w:val="28"/>
          <w:szCs w:val="28"/>
        </w:rPr>
        <w:br/>
        <w:t xml:space="preserve">　　6、有其他违反本通知规定行为和不诚信行为的。</w:t>
      </w:r>
      <w:r w:rsidRPr="00C34310">
        <w:rPr>
          <w:rFonts w:ascii="宋体" w:hAnsi="宋体" w:cs="宋体" w:hint="eastAsia"/>
          <w:color w:val="404040"/>
          <w:kern w:val="0"/>
          <w:sz w:val="28"/>
          <w:szCs w:val="28"/>
        </w:rPr>
        <w:br/>
        <w:t xml:space="preserve">　　（六）出口企业可向商务部、工业和信息化部、海关总署、质检总局、国家认监委举报违法违规企业。有关部门进行调查并作出相应处理。</w:t>
      </w:r>
      <w:r w:rsidRPr="00C34310">
        <w:rPr>
          <w:rFonts w:ascii="宋体" w:hAnsi="宋体" w:cs="宋体" w:hint="eastAsia"/>
          <w:color w:val="404040"/>
          <w:kern w:val="0"/>
          <w:sz w:val="28"/>
          <w:szCs w:val="28"/>
        </w:rPr>
        <w:br/>
        <w:t xml:space="preserve">　　</w:t>
      </w:r>
      <w:r w:rsidRPr="00C34310">
        <w:rPr>
          <w:rFonts w:ascii="宋体" w:hAnsi="宋体" w:cs="宋体" w:hint="eastAsia"/>
          <w:b/>
          <w:bCs/>
          <w:color w:val="404040"/>
          <w:kern w:val="0"/>
          <w:sz w:val="28"/>
          <w:szCs w:val="28"/>
        </w:rPr>
        <w:t>五、其他事项</w:t>
      </w:r>
    </w:p>
    <w:p w:rsidR="00C34310" w:rsidRPr="00C34310" w:rsidRDefault="00C34310" w:rsidP="00C34310">
      <w:pPr>
        <w:widowControl/>
        <w:spacing w:after="280" w:line="408" w:lineRule="auto"/>
        <w:ind w:firstLine="555"/>
        <w:jc w:val="left"/>
        <w:rPr>
          <w:rFonts w:ascii="宋体" w:hAnsi="宋体" w:cs="宋体"/>
          <w:kern w:val="0"/>
          <w:sz w:val="28"/>
          <w:szCs w:val="28"/>
        </w:rPr>
      </w:pPr>
      <w:r w:rsidRPr="00C34310">
        <w:rPr>
          <w:rFonts w:ascii="宋体" w:hAnsi="宋体" w:cs="宋体" w:hint="eastAsia"/>
          <w:color w:val="404040"/>
          <w:kern w:val="0"/>
          <w:sz w:val="28"/>
          <w:szCs w:val="28"/>
        </w:rPr>
        <w:t>（一）为鼓励发展与边境接壤国家的贸易，边境地区有关省、自治区可推荐当地1-2家有实力的出口经营企业，明确与重点生产企业</w:t>
      </w:r>
      <w:r w:rsidRPr="00C34310">
        <w:rPr>
          <w:rFonts w:ascii="宋体" w:hAnsi="宋体" w:cs="宋体" w:hint="eastAsia"/>
          <w:color w:val="404040"/>
          <w:kern w:val="0"/>
          <w:sz w:val="28"/>
          <w:szCs w:val="28"/>
        </w:rPr>
        <w:lastRenderedPageBreak/>
        <w:t>（一类和二类生产企业）的委托代理关系和目标出口市场后申报，此类授权不受生产企业出口授权数量限制，但生产企业在同一目标市场不得重复进行此类授权。每年申报时，当地管理部门须同时报送上一年度所推荐的出口经营企业的出口经营情况。</w:t>
      </w:r>
      <w:r w:rsidRPr="00C34310">
        <w:rPr>
          <w:rFonts w:ascii="宋体" w:hAnsi="宋体" w:cs="宋体" w:hint="eastAsia"/>
          <w:color w:val="404040"/>
          <w:kern w:val="0"/>
          <w:sz w:val="28"/>
          <w:szCs w:val="28"/>
        </w:rPr>
        <w:br/>
        <w:t xml:space="preserve">　　（二）企业以工程承包方式出口汽车和摩托车，须凭中标文件等相关证明材料申领出口许可证；企业出口非原产于中国的进口汽车、摩托车，须凭进口海关单据和出口合同申领出口许可证。</w:t>
      </w:r>
      <w:r w:rsidRPr="00C34310">
        <w:rPr>
          <w:rFonts w:ascii="宋体" w:hAnsi="宋体" w:cs="宋体" w:hint="eastAsia"/>
          <w:color w:val="404040"/>
          <w:kern w:val="0"/>
          <w:sz w:val="28"/>
          <w:szCs w:val="28"/>
        </w:rPr>
        <w:br/>
        <w:t xml:space="preserve">　　摩托车发动机和车架出口经营企业须凭具有出口资质的摩托车生产企业提供的证明（格式见附件7）申领出口许可证。</w:t>
      </w:r>
      <w:r w:rsidRPr="00C34310">
        <w:rPr>
          <w:rFonts w:ascii="宋体" w:hAnsi="宋体" w:cs="宋体" w:hint="eastAsia"/>
          <w:color w:val="404040"/>
          <w:kern w:val="0"/>
          <w:sz w:val="28"/>
          <w:szCs w:val="28"/>
        </w:rPr>
        <w:br/>
        <w:t xml:space="preserve">　　（三）本通知自发布之日起实施。原《关于规范汽车出口秩序的通知》（商产发[2006]629号）、《关于规范摩托车产品出口秩序的通知》（商机电发[2005]699号）和《关于规范摩托车产品出口秩序的补充通知》（商机电发[2006]44号）同时废止。</w:t>
      </w:r>
      <w:r w:rsidRPr="00C34310">
        <w:rPr>
          <w:rFonts w:ascii="宋体" w:hAnsi="宋体" w:cs="宋体" w:hint="eastAsia"/>
          <w:color w:val="404040"/>
          <w:kern w:val="0"/>
          <w:sz w:val="28"/>
          <w:szCs w:val="28"/>
        </w:rPr>
        <w:br/>
        <w:t xml:space="preserve">　　附件：1．</w:t>
      </w:r>
      <w:hyperlink r:id="rId6" w:tgtFrame="_blank" w:history="1">
        <w:r w:rsidRPr="00C34310">
          <w:rPr>
            <w:rFonts w:ascii="宋体" w:hAnsi="宋体" w:cs="宋体"/>
            <w:kern w:val="0"/>
            <w:sz w:val="24"/>
          </w:rPr>
          <w:t>实行出口许可证管理的汽车产品目录</w:t>
        </w:r>
      </w:hyperlink>
      <w:r w:rsidRPr="00C34310">
        <w:rPr>
          <w:rFonts w:ascii="宋体" w:hAnsi="宋体" w:cs="宋体" w:hint="eastAsia"/>
          <w:kern w:val="0"/>
          <w:sz w:val="28"/>
          <w:szCs w:val="28"/>
        </w:rPr>
        <w:t xml:space="preserve"> </w:t>
      </w:r>
      <w:r w:rsidRPr="00C34310">
        <w:rPr>
          <w:rFonts w:ascii="宋体" w:hAnsi="宋体" w:cs="宋体" w:hint="eastAsia"/>
          <w:kern w:val="0"/>
          <w:sz w:val="28"/>
          <w:szCs w:val="28"/>
        </w:rPr>
        <w:br/>
        <w:t xml:space="preserve">　　　　　2．</w:t>
      </w:r>
      <w:hyperlink r:id="rId7" w:tgtFrame="_blank" w:history="1">
        <w:r w:rsidRPr="00C34310">
          <w:rPr>
            <w:rFonts w:ascii="宋体" w:hAnsi="宋体" w:cs="宋体"/>
            <w:kern w:val="0"/>
            <w:sz w:val="24"/>
          </w:rPr>
          <w:t>实行出口许可证管理的摩托车产品目录</w:t>
        </w:r>
      </w:hyperlink>
      <w:r w:rsidRPr="00C34310">
        <w:rPr>
          <w:rFonts w:ascii="宋体" w:hAnsi="宋体" w:cs="宋体" w:hint="eastAsia"/>
          <w:kern w:val="0"/>
          <w:sz w:val="28"/>
          <w:szCs w:val="28"/>
        </w:rPr>
        <w:t xml:space="preserve"> </w:t>
      </w:r>
      <w:r w:rsidRPr="00C34310">
        <w:rPr>
          <w:rFonts w:ascii="宋体" w:hAnsi="宋体" w:cs="宋体" w:hint="eastAsia"/>
          <w:kern w:val="0"/>
          <w:sz w:val="28"/>
          <w:szCs w:val="28"/>
        </w:rPr>
        <w:br/>
        <w:t xml:space="preserve">　　　　　3．</w:t>
      </w:r>
      <w:hyperlink r:id="rId8" w:tgtFrame="_blank" w:history="1">
        <w:r w:rsidRPr="00C34310">
          <w:rPr>
            <w:rFonts w:ascii="宋体" w:hAnsi="宋体" w:cs="宋体"/>
            <w:kern w:val="0"/>
            <w:sz w:val="24"/>
          </w:rPr>
          <w:t>符合申领汽车出口许可证条件企业申请表</w:t>
        </w:r>
      </w:hyperlink>
      <w:r w:rsidRPr="00C34310">
        <w:rPr>
          <w:rFonts w:ascii="宋体" w:hAnsi="宋体" w:cs="宋体" w:hint="eastAsia"/>
          <w:kern w:val="0"/>
          <w:sz w:val="28"/>
          <w:szCs w:val="28"/>
        </w:rPr>
        <w:t xml:space="preserve"> </w:t>
      </w:r>
      <w:r w:rsidRPr="00C34310">
        <w:rPr>
          <w:rFonts w:ascii="宋体" w:hAnsi="宋体" w:cs="宋体" w:hint="eastAsia"/>
          <w:kern w:val="0"/>
          <w:sz w:val="28"/>
          <w:szCs w:val="28"/>
        </w:rPr>
        <w:br/>
        <w:t xml:space="preserve">　　　　　4．</w:t>
      </w:r>
      <w:hyperlink r:id="rId9" w:tgtFrame="_blank" w:history="1">
        <w:r w:rsidRPr="00C34310">
          <w:rPr>
            <w:rFonts w:ascii="宋体" w:hAnsi="宋体" w:cs="宋体"/>
            <w:kern w:val="0"/>
            <w:sz w:val="24"/>
          </w:rPr>
          <w:t>符合申领摩托车出口许可证条件企业申请表</w:t>
        </w:r>
      </w:hyperlink>
      <w:r w:rsidRPr="00C34310">
        <w:rPr>
          <w:rFonts w:ascii="宋体" w:hAnsi="宋体" w:cs="宋体" w:hint="eastAsia"/>
          <w:kern w:val="0"/>
          <w:sz w:val="28"/>
          <w:szCs w:val="28"/>
        </w:rPr>
        <w:t xml:space="preserve"> </w:t>
      </w:r>
      <w:r w:rsidRPr="00C34310">
        <w:rPr>
          <w:rFonts w:ascii="宋体" w:hAnsi="宋体" w:cs="宋体" w:hint="eastAsia"/>
          <w:kern w:val="0"/>
          <w:sz w:val="28"/>
          <w:szCs w:val="28"/>
        </w:rPr>
        <w:br/>
        <w:t xml:space="preserve">　　　　　5．</w:t>
      </w:r>
      <w:hyperlink r:id="rId10" w:tgtFrame="_blank" w:history="1">
        <w:r w:rsidRPr="00C34310">
          <w:rPr>
            <w:rFonts w:ascii="宋体" w:hAnsi="宋体" w:cs="宋体"/>
            <w:kern w:val="0"/>
            <w:sz w:val="24"/>
          </w:rPr>
          <w:t>符合申领汽车出口许可证条件企业名单申请汇总表</w:t>
        </w:r>
      </w:hyperlink>
      <w:r w:rsidRPr="00C34310">
        <w:rPr>
          <w:rFonts w:ascii="宋体" w:hAnsi="宋体" w:cs="宋体" w:hint="eastAsia"/>
          <w:kern w:val="0"/>
          <w:sz w:val="28"/>
          <w:szCs w:val="28"/>
        </w:rPr>
        <w:t xml:space="preserve"> </w:t>
      </w:r>
      <w:r w:rsidRPr="00C34310">
        <w:rPr>
          <w:rFonts w:ascii="宋体" w:hAnsi="宋体" w:cs="宋体" w:hint="eastAsia"/>
          <w:kern w:val="0"/>
          <w:sz w:val="28"/>
          <w:szCs w:val="28"/>
        </w:rPr>
        <w:br/>
        <w:t xml:space="preserve">　　　　　6．</w:t>
      </w:r>
      <w:hyperlink r:id="rId11" w:tgtFrame="_blank" w:history="1">
        <w:r w:rsidRPr="00C34310">
          <w:rPr>
            <w:rFonts w:ascii="宋体" w:hAnsi="宋体" w:cs="宋体"/>
            <w:kern w:val="0"/>
            <w:sz w:val="24"/>
          </w:rPr>
          <w:t>符合申领摩托车出口许可证条件企业名单申请汇总表</w:t>
        </w:r>
      </w:hyperlink>
      <w:r w:rsidRPr="00C34310">
        <w:rPr>
          <w:rFonts w:ascii="宋体" w:hAnsi="宋体" w:cs="宋体" w:hint="eastAsia"/>
          <w:kern w:val="0"/>
          <w:sz w:val="28"/>
          <w:szCs w:val="28"/>
        </w:rPr>
        <w:t xml:space="preserve"> </w:t>
      </w:r>
      <w:r w:rsidRPr="00C34310">
        <w:rPr>
          <w:rFonts w:ascii="宋体" w:hAnsi="宋体" w:cs="宋体" w:hint="eastAsia"/>
          <w:kern w:val="0"/>
          <w:sz w:val="28"/>
          <w:szCs w:val="28"/>
        </w:rPr>
        <w:br/>
        <w:t xml:space="preserve">　　　　　7．</w:t>
      </w:r>
      <w:hyperlink r:id="rId12" w:tgtFrame="_blank" w:history="1">
        <w:r w:rsidRPr="00C34310">
          <w:rPr>
            <w:rFonts w:ascii="宋体" w:hAnsi="宋体" w:cs="宋体"/>
            <w:kern w:val="0"/>
            <w:sz w:val="24"/>
          </w:rPr>
          <w:t>摩托车发动机和车架出口证明</w:t>
        </w:r>
      </w:hyperlink>
      <w:r w:rsidRPr="00C34310">
        <w:rPr>
          <w:rFonts w:ascii="宋体" w:hAnsi="宋体" w:cs="宋体" w:hint="eastAsia"/>
          <w:kern w:val="0"/>
          <w:sz w:val="28"/>
          <w:szCs w:val="28"/>
        </w:rPr>
        <w:t xml:space="preserve"> </w:t>
      </w:r>
    </w:p>
    <w:p w:rsidR="00C34310" w:rsidRPr="00C34310" w:rsidRDefault="00C34310" w:rsidP="00C34310">
      <w:pPr>
        <w:widowControl/>
        <w:spacing w:line="408" w:lineRule="auto"/>
        <w:ind w:right="1120"/>
      </w:pPr>
      <w:r w:rsidRPr="00C34310">
        <w:rPr>
          <w:rFonts w:ascii="宋体" w:hAnsi="宋体" w:cs="宋体" w:hint="eastAsia"/>
          <w:color w:val="404040"/>
          <w:kern w:val="0"/>
          <w:sz w:val="28"/>
          <w:szCs w:val="28"/>
        </w:rPr>
        <w:t>商务部 工业和信息化部 海关总署 质检总局</w:t>
      </w:r>
      <w:r>
        <w:rPr>
          <w:rFonts w:ascii="宋体" w:hAnsi="宋体" w:cs="宋体" w:hint="eastAsia"/>
          <w:color w:val="404040"/>
          <w:kern w:val="0"/>
          <w:sz w:val="28"/>
          <w:szCs w:val="28"/>
        </w:rPr>
        <w:t xml:space="preserve">  </w:t>
      </w:r>
      <w:r w:rsidRPr="00C34310">
        <w:rPr>
          <w:rFonts w:ascii="宋体" w:hAnsi="宋体" w:cs="宋体" w:hint="eastAsia"/>
          <w:color w:val="404040"/>
          <w:kern w:val="0"/>
          <w:sz w:val="28"/>
          <w:szCs w:val="28"/>
        </w:rPr>
        <w:t>国家认</w:t>
      </w:r>
      <w:r>
        <w:rPr>
          <w:rFonts w:ascii="宋体" w:hAnsi="宋体" w:cs="宋体" w:hint="eastAsia"/>
          <w:color w:val="404040"/>
          <w:kern w:val="0"/>
          <w:sz w:val="28"/>
          <w:szCs w:val="28"/>
        </w:rPr>
        <w:t>监委</w:t>
      </w:r>
      <w:r w:rsidRPr="00C34310">
        <w:rPr>
          <w:rFonts w:ascii="宋体" w:hAnsi="宋体" w:cs="宋体" w:hint="eastAsia"/>
          <w:color w:val="404040"/>
          <w:kern w:val="0"/>
          <w:sz w:val="28"/>
          <w:szCs w:val="28"/>
        </w:rPr>
        <w:t xml:space="preserve"> </w:t>
      </w:r>
      <w:r w:rsidRPr="00C34310">
        <w:rPr>
          <w:rFonts w:ascii="宋体" w:hAnsi="宋体" w:cs="宋体" w:hint="eastAsia"/>
          <w:color w:val="404040"/>
          <w:kern w:val="0"/>
          <w:sz w:val="28"/>
          <w:szCs w:val="28"/>
        </w:rPr>
        <w:br/>
      </w:r>
      <w:smartTag w:uri="urn:schemas-microsoft-com:office:smarttags" w:element="chsdate">
        <w:smartTagPr>
          <w:attr w:name="IsROCDate" w:val="False"/>
          <w:attr w:name="IsLunarDate" w:val="False"/>
          <w:attr w:name="Day" w:val="6"/>
          <w:attr w:name="Month" w:val="9"/>
          <w:attr w:name="Year" w:val="2012"/>
        </w:smartTagPr>
        <w:r w:rsidRPr="00C34310">
          <w:rPr>
            <w:rFonts w:ascii="宋体" w:hAnsi="宋体" w:cs="宋体" w:hint="eastAsia"/>
            <w:color w:val="404040"/>
            <w:kern w:val="0"/>
            <w:sz w:val="28"/>
            <w:szCs w:val="28"/>
          </w:rPr>
          <w:t>2012年9月6日</w:t>
        </w:r>
      </w:smartTag>
    </w:p>
    <w:sectPr w:rsidR="00C34310" w:rsidRPr="00C34310" w:rsidSect="00D952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7D" w:rsidRDefault="004F517D" w:rsidP="00B858BD">
      <w:r>
        <w:separator/>
      </w:r>
    </w:p>
  </w:endnote>
  <w:endnote w:type="continuationSeparator" w:id="1">
    <w:p w:rsidR="004F517D" w:rsidRDefault="004F517D" w:rsidP="00B85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7D" w:rsidRDefault="004F517D" w:rsidP="00B858BD">
      <w:r>
        <w:separator/>
      </w:r>
    </w:p>
  </w:footnote>
  <w:footnote w:type="continuationSeparator" w:id="1">
    <w:p w:rsidR="004F517D" w:rsidRDefault="004F517D" w:rsidP="00B85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4310"/>
    <w:rsid w:val="000045C2"/>
    <w:rsid w:val="000051EA"/>
    <w:rsid w:val="00005FA0"/>
    <w:rsid w:val="0001446A"/>
    <w:rsid w:val="000208FB"/>
    <w:rsid w:val="0003403F"/>
    <w:rsid w:val="00051F39"/>
    <w:rsid w:val="00052EEC"/>
    <w:rsid w:val="00072C38"/>
    <w:rsid w:val="000962D2"/>
    <w:rsid w:val="000D5AE4"/>
    <w:rsid w:val="000F0D5C"/>
    <w:rsid w:val="000F51FA"/>
    <w:rsid w:val="00103894"/>
    <w:rsid w:val="00106A7D"/>
    <w:rsid w:val="00112854"/>
    <w:rsid w:val="00112AE3"/>
    <w:rsid w:val="0012478E"/>
    <w:rsid w:val="001518EE"/>
    <w:rsid w:val="00157FF0"/>
    <w:rsid w:val="00175E43"/>
    <w:rsid w:val="001E11CB"/>
    <w:rsid w:val="001E130C"/>
    <w:rsid w:val="001F2B9E"/>
    <w:rsid w:val="0023166B"/>
    <w:rsid w:val="00247774"/>
    <w:rsid w:val="00251C08"/>
    <w:rsid w:val="00261E01"/>
    <w:rsid w:val="002958C4"/>
    <w:rsid w:val="00297171"/>
    <w:rsid w:val="002A743B"/>
    <w:rsid w:val="002E1B89"/>
    <w:rsid w:val="002E4C94"/>
    <w:rsid w:val="002F4540"/>
    <w:rsid w:val="003069FC"/>
    <w:rsid w:val="00366FEA"/>
    <w:rsid w:val="003909A3"/>
    <w:rsid w:val="003A39E5"/>
    <w:rsid w:val="003C5AEA"/>
    <w:rsid w:val="003D5BAD"/>
    <w:rsid w:val="003F7EE4"/>
    <w:rsid w:val="00424882"/>
    <w:rsid w:val="00426ABE"/>
    <w:rsid w:val="00466A59"/>
    <w:rsid w:val="00470DDC"/>
    <w:rsid w:val="00472983"/>
    <w:rsid w:val="004808DF"/>
    <w:rsid w:val="00480ADB"/>
    <w:rsid w:val="004910B5"/>
    <w:rsid w:val="00497D4E"/>
    <w:rsid w:val="004A3E7B"/>
    <w:rsid w:val="004D1B5F"/>
    <w:rsid w:val="004F517D"/>
    <w:rsid w:val="00520AE6"/>
    <w:rsid w:val="00523F72"/>
    <w:rsid w:val="00524275"/>
    <w:rsid w:val="00525E32"/>
    <w:rsid w:val="005512CB"/>
    <w:rsid w:val="00556D32"/>
    <w:rsid w:val="00556E98"/>
    <w:rsid w:val="00585FF6"/>
    <w:rsid w:val="005967FD"/>
    <w:rsid w:val="0059730A"/>
    <w:rsid w:val="005E454B"/>
    <w:rsid w:val="005F3C4B"/>
    <w:rsid w:val="005F5237"/>
    <w:rsid w:val="00631CCB"/>
    <w:rsid w:val="00646B05"/>
    <w:rsid w:val="00657810"/>
    <w:rsid w:val="00675C48"/>
    <w:rsid w:val="006802CB"/>
    <w:rsid w:val="0069647E"/>
    <w:rsid w:val="006A2E28"/>
    <w:rsid w:val="006B03D4"/>
    <w:rsid w:val="006B6364"/>
    <w:rsid w:val="006D69D5"/>
    <w:rsid w:val="006E3808"/>
    <w:rsid w:val="006E469B"/>
    <w:rsid w:val="006F535F"/>
    <w:rsid w:val="007057B3"/>
    <w:rsid w:val="007062A5"/>
    <w:rsid w:val="00713899"/>
    <w:rsid w:val="00725271"/>
    <w:rsid w:val="00732A6D"/>
    <w:rsid w:val="007421C2"/>
    <w:rsid w:val="00751920"/>
    <w:rsid w:val="0075539B"/>
    <w:rsid w:val="007727F5"/>
    <w:rsid w:val="0077280A"/>
    <w:rsid w:val="007925CC"/>
    <w:rsid w:val="00794F62"/>
    <w:rsid w:val="007B2712"/>
    <w:rsid w:val="007E78D8"/>
    <w:rsid w:val="008040A4"/>
    <w:rsid w:val="008319AC"/>
    <w:rsid w:val="008562C4"/>
    <w:rsid w:val="008609D4"/>
    <w:rsid w:val="008849A9"/>
    <w:rsid w:val="0088580A"/>
    <w:rsid w:val="008D78D4"/>
    <w:rsid w:val="009008B3"/>
    <w:rsid w:val="00910EC7"/>
    <w:rsid w:val="00923991"/>
    <w:rsid w:val="00924F32"/>
    <w:rsid w:val="00952E3A"/>
    <w:rsid w:val="009724D0"/>
    <w:rsid w:val="00985611"/>
    <w:rsid w:val="00985794"/>
    <w:rsid w:val="009861F5"/>
    <w:rsid w:val="009959AA"/>
    <w:rsid w:val="009B5155"/>
    <w:rsid w:val="009F6779"/>
    <w:rsid w:val="00A25E8A"/>
    <w:rsid w:val="00A631C8"/>
    <w:rsid w:val="00A63589"/>
    <w:rsid w:val="00A66146"/>
    <w:rsid w:val="00A74438"/>
    <w:rsid w:val="00A8432B"/>
    <w:rsid w:val="00A85E1F"/>
    <w:rsid w:val="00A95810"/>
    <w:rsid w:val="00AA2BEF"/>
    <w:rsid w:val="00AA5804"/>
    <w:rsid w:val="00AB1770"/>
    <w:rsid w:val="00AE1511"/>
    <w:rsid w:val="00AE3F51"/>
    <w:rsid w:val="00AF0AF9"/>
    <w:rsid w:val="00AF43BC"/>
    <w:rsid w:val="00B0512E"/>
    <w:rsid w:val="00B11D40"/>
    <w:rsid w:val="00B40EE5"/>
    <w:rsid w:val="00B44942"/>
    <w:rsid w:val="00B510CC"/>
    <w:rsid w:val="00B62067"/>
    <w:rsid w:val="00B755A8"/>
    <w:rsid w:val="00B80636"/>
    <w:rsid w:val="00B858BD"/>
    <w:rsid w:val="00BB2EF8"/>
    <w:rsid w:val="00BD1888"/>
    <w:rsid w:val="00BD2812"/>
    <w:rsid w:val="00BE3024"/>
    <w:rsid w:val="00BE601A"/>
    <w:rsid w:val="00BF5FE0"/>
    <w:rsid w:val="00C06083"/>
    <w:rsid w:val="00C34310"/>
    <w:rsid w:val="00C35DDE"/>
    <w:rsid w:val="00C72A07"/>
    <w:rsid w:val="00C73C35"/>
    <w:rsid w:val="00C75FFC"/>
    <w:rsid w:val="00C94331"/>
    <w:rsid w:val="00C97253"/>
    <w:rsid w:val="00CA1374"/>
    <w:rsid w:val="00CA3941"/>
    <w:rsid w:val="00CA5CF7"/>
    <w:rsid w:val="00CD7C94"/>
    <w:rsid w:val="00CE76E4"/>
    <w:rsid w:val="00CF0572"/>
    <w:rsid w:val="00CF234D"/>
    <w:rsid w:val="00CF7CBB"/>
    <w:rsid w:val="00D122F7"/>
    <w:rsid w:val="00D175F3"/>
    <w:rsid w:val="00D3358A"/>
    <w:rsid w:val="00D40288"/>
    <w:rsid w:val="00D41915"/>
    <w:rsid w:val="00D44935"/>
    <w:rsid w:val="00D73788"/>
    <w:rsid w:val="00D92DC6"/>
    <w:rsid w:val="00D9526F"/>
    <w:rsid w:val="00DB14A5"/>
    <w:rsid w:val="00DB7033"/>
    <w:rsid w:val="00DC514A"/>
    <w:rsid w:val="00E0684A"/>
    <w:rsid w:val="00E314E1"/>
    <w:rsid w:val="00E47831"/>
    <w:rsid w:val="00E543A9"/>
    <w:rsid w:val="00E93EFD"/>
    <w:rsid w:val="00EB1F66"/>
    <w:rsid w:val="00EC693A"/>
    <w:rsid w:val="00EE2F25"/>
    <w:rsid w:val="00EF563C"/>
    <w:rsid w:val="00F027F3"/>
    <w:rsid w:val="00F332D0"/>
    <w:rsid w:val="00F530E5"/>
    <w:rsid w:val="00F64C13"/>
    <w:rsid w:val="00F67B27"/>
    <w:rsid w:val="00F80E60"/>
    <w:rsid w:val="00F834A3"/>
    <w:rsid w:val="00F916FA"/>
    <w:rsid w:val="00FD2CE1"/>
    <w:rsid w:val="00FF0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310"/>
    <w:rPr>
      <w:rFonts w:ascii="宋体" w:eastAsia="宋体" w:hAnsi="宋体" w:hint="eastAsia"/>
      <w:strike w:val="0"/>
      <w:dstrike w:val="0"/>
      <w:color w:val="622020"/>
      <w:sz w:val="24"/>
      <w:szCs w:val="24"/>
      <w:u w:val="none"/>
      <w:effect w:val="none"/>
    </w:rPr>
  </w:style>
  <w:style w:type="paragraph" w:styleId="a4">
    <w:name w:val="header"/>
    <w:basedOn w:val="a"/>
    <w:link w:val="Char"/>
    <w:rsid w:val="00B85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58BD"/>
    <w:rPr>
      <w:kern w:val="2"/>
      <w:sz w:val="18"/>
      <w:szCs w:val="18"/>
    </w:rPr>
  </w:style>
  <w:style w:type="paragraph" w:styleId="a5">
    <w:name w:val="footer"/>
    <w:basedOn w:val="a"/>
    <w:link w:val="Char0"/>
    <w:rsid w:val="00B858BD"/>
    <w:pPr>
      <w:tabs>
        <w:tab w:val="center" w:pos="4153"/>
        <w:tab w:val="right" w:pos="8306"/>
      </w:tabs>
      <w:snapToGrid w:val="0"/>
      <w:jc w:val="left"/>
    </w:pPr>
    <w:rPr>
      <w:sz w:val="18"/>
      <w:szCs w:val="18"/>
    </w:rPr>
  </w:style>
  <w:style w:type="character" w:customStyle="1" w:styleId="Char0">
    <w:name w:val="页脚 Char"/>
    <w:basedOn w:val="a0"/>
    <w:link w:val="a5"/>
    <w:rsid w:val="00B858B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s.mofcom.gov.cn/accessory/201209/1346984551777.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ys.mofcom.gov.cn/accessory/201209/1346984543180.doc" TargetMode="External"/><Relationship Id="rId12" Type="http://schemas.openxmlformats.org/officeDocument/2006/relationships/hyperlink" Target="http://cys.mofcom.gov.cn/accessory/201209/134698458558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ys.mofcom.gov.cn/accessory/201209/1346984531625.doc" TargetMode="External"/><Relationship Id="rId11" Type="http://schemas.openxmlformats.org/officeDocument/2006/relationships/hyperlink" Target="http://cys.mofcom.gov.cn/accessory/201209/1346984576848.doc" TargetMode="External"/><Relationship Id="rId5" Type="http://schemas.openxmlformats.org/officeDocument/2006/relationships/endnotes" Target="endnotes.xml"/><Relationship Id="rId10" Type="http://schemas.openxmlformats.org/officeDocument/2006/relationships/hyperlink" Target="http://cys.mofcom.gov.cn/accessory/201209/1346984568485.doc" TargetMode="External"/><Relationship Id="rId4" Type="http://schemas.openxmlformats.org/officeDocument/2006/relationships/footnotes" Target="footnotes.xml"/><Relationship Id="rId9" Type="http://schemas.openxmlformats.org/officeDocument/2006/relationships/hyperlink" Target="http://cys.mofcom.gov.cn/accessory/201209/1346984560227.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590</Words>
  <Characters>3366</Characters>
  <Application>Microsoft Office Word</Application>
  <DocSecurity>0</DocSecurity>
  <Lines>28</Lines>
  <Paragraphs>7</Paragraphs>
  <ScaleCrop>false</ScaleCrop>
  <Company>jdc</Company>
  <LinksUpToDate>false</LinksUpToDate>
  <CharactersWithSpaces>3949</CharactersWithSpaces>
  <SharedDoc>false</SharedDoc>
  <HLinks>
    <vt:vector size="42" baseType="variant">
      <vt:variant>
        <vt:i4>6357030</vt:i4>
      </vt:variant>
      <vt:variant>
        <vt:i4>18</vt:i4>
      </vt:variant>
      <vt:variant>
        <vt:i4>0</vt:i4>
      </vt:variant>
      <vt:variant>
        <vt:i4>5</vt:i4>
      </vt:variant>
      <vt:variant>
        <vt:lpwstr>http://cys.mofcom.gov.cn/accessory/201209/1346984585586.doc</vt:lpwstr>
      </vt:variant>
      <vt:variant>
        <vt:lpwstr/>
      </vt:variant>
      <vt:variant>
        <vt:i4>7209002</vt:i4>
      </vt:variant>
      <vt:variant>
        <vt:i4>15</vt:i4>
      </vt:variant>
      <vt:variant>
        <vt:i4>0</vt:i4>
      </vt:variant>
      <vt:variant>
        <vt:i4>5</vt:i4>
      </vt:variant>
      <vt:variant>
        <vt:lpwstr>http://cys.mofcom.gov.cn/accessory/201209/1346984576848.doc</vt:lpwstr>
      </vt:variant>
      <vt:variant>
        <vt:lpwstr/>
      </vt:variant>
      <vt:variant>
        <vt:i4>7077930</vt:i4>
      </vt:variant>
      <vt:variant>
        <vt:i4>12</vt:i4>
      </vt:variant>
      <vt:variant>
        <vt:i4>0</vt:i4>
      </vt:variant>
      <vt:variant>
        <vt:i4>5</vt:i4>
      </vt:variant>
      <vt:variant>
        <vt:lpwstr>http://cys.mofcom.gov.cn/accessory/201209/1346984568485.doc</vt:lpwstr>
      </vt:variant>
      <vt:variant>
        <vt:lpwstr/>
      </vt:variant>
      <vt:variant>
        <vt:i4>7209006</vt:i4>
      </vt:variant>
      <vt:variant>
        <vt:i4>9</vt:i4>
      </vt:variant>
      <vt:variant>
        <vt:i4>0</vt:i4>
      </vt:variant>
      <vt:variant>
        <vt:i4>5</vt:i4>
      </vt:variant>
      <vt:variant>
        <vt:lpwstr>http://cys.mofcom.gov.cn/accessory/201209/1346984560227.doc</vt:lpwstr>
      </vt:variant>
      <vt:variant>
        <vt:lpwstr/>
      </vt:variant>
      <vt:variant>
        <vt:i4>6946856</vt:i4>
      </vt:variant>
      <vt:variant>
        <vt:i4>6</vt:i4>
      </vt:variant>
      <vt:variant>
        <vt:i4>0</vt:i4>
      </vt:variant>
      <vt:variant>
        <vt:i4>5</vt:i4>
      </vt:variant>
      <vt:variant>
        <vt:lpwstr>http://cys.mofcom.gov.cn/accessory/201209/1346984551777.doc</vt:lpwstr>
      </vt:variant>
      <vt:variant>
        <vt:lpwstr/>
      </vt:variant>
      <vt:variant>
        <vt:i4>6750248</vt:i4>
      </vt:variant>
      <vt:variant>
        <vt:i4>3</vt:i4>
      </vt:variant>
      <vt:variant>
        <vt:i4>0</vt:i4>
      </vt:variant>
      <vt:variant>
        <vt:i4>5</vt:i4>
      </vt:variant>
      <vt:variant>
        <vt:lpwstr>http://cys.mofcom.gov.cn/accessory/201209/1346984543180.doc</vt:lpwstr>
      </vt:variant>
      <vt:variant>
        <vt:lpwstr/>
      </vt:variant>
      <vt:variant>
        <vt:i4>7274541</vt:i4>
      </vt:variant>
      <vt:variant>
        <vt:i4>0</vt:i4>
      </vt:variant>
      <vt:variant>
        <vt:i4>0</vt:i4>
      </vt:variant>
      <vt:variant>
        <vt:i4>5</vt:i4>
      </vt:variant>
      <vt:variant>
        <vt:lpwstr>http://cys.mofcom.gov.cn/accessory/201209/1346984531625.doc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商务部 工业和信息化部 海关总署 质检总局 国家认监委</dc:title>
  <dc:creator>dl</dc:creator>
  <cp:lastModifiedBy>ly</cp:lastModifiedBy>
  <cp:revision>4</cp:revision>
  <dcterms:created xsi:type="dcterms:W3CDTF">2013-08-21T02:00:00Z</dcterms:created>
  <dcterms:modified xsi:type="dcterms:W3CDTF">2015-09-11T07:15:00Z</dcterms:modified>
</cp:coreProperties>
</file>