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0" w:line="240" w:lineRule="auto"/>
        <w:jc w:val="both"/>
        <w:rPr>
          <w:rFonts w:ascii="黑体" w:hAnsi="Times New Roman" w:eastAsia="黑体" w:cs="Times New Roman"/>
          <w:szCs w:val="24"/>
        </w:rPr>
      </w:pPr>
    </w:p>
    <w:p>
      <w:pPr>
        <w:spacing w:after="0" w:line="240" w:lineRule="auto"/>
        <w:jc w:val="center"/>
        <w:rPr>
          <w:rFonts w:hint="eastAsia" w:ascii="宋体" w:hAnsi="宋体" w:eastAsia="宋体" w:cs="Times New Roman"/>
          <w:b/>
          <w:kern w:val="44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44"/>
          <w:sz w:val="36"/>
          <w:szCs w:val="36"/>
        </w:rPr>
        <w:t>国家电子商务示范基地</w:t>
      </w:r>
    </w:p>
    <w:p>
      <w:pPr>
        <w:spacing w:after="0" w:line="240" w:lineRule="auto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44"/>
          <w:sz w:val="36"/>
          <w:szCs w:val="36"/>
        </w:rPr>
        <w:t>和其他电子商务产业基地自评报告编制说明</w:t>
      </w:r>
    </w:p>
    <w:p>
      <w:pPr>
        <w:spacing w:after="0" w:line="240" w:lineRule="auto"/>
        <w:jc w:val="both"/>
        <w:rPr>
          <w:rFonts w:ascii="Times New Roman" w:hAnsi="Times New Roman" w:eastAsia="宋体" w:cs="Times New Roman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640" w:firstLineChars="200"/>
        <w:jc w:val="both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一、编制要点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（一）承载能力建设情况。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基地在基础硬件、功能布局、相关配套及电商</w:t>
      </w:r>
      <w:r>
        <w:rPr>
          <w:rFonts w:ascii="仿宋_GB2312" w:hAnsi="Times New Roman" w:eastAsia="仿宋_GB2312" w:cs="仿宋_GB2312"/>
          <w:sz w:val="32"/>
          <w:szCs w:val="32"/>
        </w:rPr>
        <w:t>产业</w:t>
      </w:r>
      <w:r>
        <w:rPr>
          <w:rFonts w:hint="eastAsia" w:ascii="仿宋_GB2312" w:hAnsi="Times New Roman" w:eastAsia="仿宋_GB2312" w:cs="仿宋_GB2312"/>
          <w:sz w:val="32"/>
          <w:szCs w:val="32"/>
        </w:rPr>
        <w:t>生态等方面的建设与完善情况。对于城市、市辖区、经济开发区、高新区等电商企业较为分散的基地，须指定1个电商企业相对集中的特定区域作为参评对象。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（二）服务能力建设情况。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基地面向入驻企业提供电子商务金融服务、人才服务、孵化服务及其他公共服务情况，包括但不限于出台的政策措施、服务类型、主要做法与进展、服务规模数量、作用与效果等。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（三）保障</w:t>
      </w:r>
      <w:r>
        <w:rPr>
          <w:rFonts w:ascii="楷体_GB2312" w:hAnsi="楷体" w:eastAsia="楷体_GB2312" w:cs="黑体"/>
          <w:b/>
          <w:sz w:val="32"/>
          <w:szCs w:val="32"/>
        </w:rPr>
        <w:t>能力建设情况。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基地在组织领导、党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仿宋_GB2312"/>
          <w:sz w:val="32"/>
          <w:szCs w:val="32"/>
        </w:rPr>
        <w:t>建设、环境营造</w:t>
      </w:r>
      <w:r>
        <w:rPr>
          <w:rFonts w:ascii="仿宋_GB2312" w:hAnsi="Times New Roman" w:eastAsia="仿宋_GB2312" w:cs="仿宋_GB2312"/>
          <w:sz w:val="32"/>
          <w:szCs w:val="32"/>
        </w:rPr>
        <w:t>、绿色发展、安全生产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等方面的工作推进情况及取得主要成效等。 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（四）示范</w:t>
      </w:r>
      <w:r>
        <w:rPr>
          <w:rFonts w:ascii="楷体_GB2312" w:hAnsi="楷体" w:eastAsia="楷体_GB2312" w:cs="黑体"/>
          <w:b/>
          <w:sz w:val="32"/>
          <w:szCs w:val="32"/>
        </w:rPr>
        <w:t>能力建设情况。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基地电子商务交易规模、营收规模、税收规模、从业人员规模及其同比变化情况，在促进就业创业、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Times New Roman" w:eastAsia="仿宋_GB2312" w:cs="仿宋_GB2312"/>
          <w:sz w:val="32"/>
          <w:szCs w:val="32"/>
        </w:rPr>
        <w:t>、品牌创建、消费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提振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ascii="仿宋_GB2312" w:hAnsi="Times New Roman" w:eastAsia="仿宋_GB2312" w:cs="仿宋_GB2312"/>
          <w:sz w:val="32"/>
          <w:szCs w:val="32"/>
        </w:rPr>
        <w:t>数字化转型</w:t>
      </w:r>
      <w:r>
        <w:rPr>
          <w:rFonts w:hint="eastAsia" w:ascii="仿宋_GB2312" w:hAnsi="Times New Roman" w:eastAsia="仿宋_GB2312" w:cs="仿宋_GB2312"/>
          <w:sz w:val="32"/>
          <w:szCs w:val="32"/>
        </w:rPr>
        <w:t>以及拓展国内外市场等方面所发挥的作用。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（五）创新能力建设情况。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基地在规划发展、资金扶持、产学研合作方面的推进及落实情况；在商务领域新技术应用、模式业态创新等方面的进展情况；在</w:t>
      </w:r>
      <w:r>
        <w:rPr>
          <w:rFonts w:ascii="仿宋_GB2312" w:hAnsi="Times New Roman" w:eastAsia="仿宋_GB2312" w:cs="仿宋_GB2312"/>
          <w:sz w:val="32"/>
          <w:szCs w:val="32"/>
        </w:rPr>
        <w:t>探索基地建设运营体制机制创新方面</w:t>
      </w:r>
      <w:r>
        <w:rPr>
          <w:rFonts w:hint="eastAsia" w:ascii="仿宋_GB2312" w:hAnsi="Times New Roman" w:eastAsia="仿宋_GB2312" w:cs="仿宋_GB2312"/>
          <w:sz w:val="32"/>
          <w:szCs w:val="32"/>
        </w:rPr>
        <w:t>的工作进展</w:t>
      </w:r>
      <w:r>
        <w:rPr>
          <w:rFonts w:ascii="仿宋_GB2312" w:hAnsi="Times New Roman" w:eastAsia="仿宋_GB2312" w:cs="仿宋_GB2312"/>
          <w:sz w:val="32"/>
          <w:szCs w:val="32"/>
        </w:rPr>
        <w:t>；</w:t>
      </w:r>
      <w:r>
        <w:rPr>
          <w:rFonts w:hint="eastAsia" w:ascii="仿宋_GB2312" w:hAnsi="Times New Roman" w:eastAsia="仿宋_GB2312" w:cs="仿宋_GB2312"/>
          <w:sz w:val="32"/>
          <w:szCs w:val="32"/>
        </w:rPr>
        <w:t>推动电子商务行业标准和信用体系建设进展情况。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（六）</w:t>
      </w:r>
      <w:r>
        <w:rPr>
          <w:rFonts w:ascii="楷体_GB2312" w:hAnsi="楷体" w:eastAsia="楷体_GB2312" w:cs="黑体"/>
          <w:b/>
          <w:sz w:val="32"/>
          <w:szCs w:val="32"/>
        </w:rPr>
        <w:t>存在</w:t>
      </w:r>
      <w:r>
        <w:rPr>
          <w:rFonts w:hint="eastAsia" w:ascii="楷体_GB2312" w:hAnsi="楷体" w:eastAsia="楷体_GB2312" w:cs="黑体"/>
          <w:b/>
          <w:sz w:val="32"/>
          <w:szCs w:val="32"/>
        </w:rPr>
        <w:t>问题、原因及建议</w:t>
      </w:r>
      <w:r>
        <w:rPr>
          <w:rFonts w:ascii="楷体_GB2312" w:hAnsi="楷体" w:eastAsia="楷体_GB2312" w:cs="黑体"/>
          <w:b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对照国家电子商务示范基地综合评价指标体系，认真查找基地建设中存在的问题及面临的主要制约因素，深入研究基地发展目标与策略，有针对性地提出未来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Times New Roman" w:eastAsia="仿宋_GB2312" w:cs="仿宋_GB2312"/>
          <w:sz w:val="32"/>
          <w:szCs w:val="32"/>
        </w:rPr>
        <w:t>思路和政策建议。</w:t>
      </w:r>
    </w:p>
    <w:p>
      <w:pPr>
        <w:autoSpaceDE w:val="0"/>
        <w:autoSpaceDN w:val="0"/>
        <w:adjustRightInd w:val="0"/>
        <w:spacing w:after="0" w:line="240" w:lineRule="auto"/>
        <w:ind w:firstLine="640" w:firstLineChars="200"/>
        <w:jc w:val="both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二、其他事项</w:t>
      </w:r>
    </w:p>
    <w:p>
      <w:pPr>
        <w:autoSpaceDE w:val="0"/>
        <w:autoSpaceDN w:val="0"/>
        <w:adjustRightInd w:val="0"/>
        <w:spacing w:after="0" w:line="240" w:lineRule="auto"/>
        <w:ind w:firstLine="640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（一）自评报告及相关证明材料的电子版通过商务部业务系统统一平台内“电子商务信息分析管理应用”报送。如证明材料较多，可只上传电子版，不再提供纸质材料。</w:t>
      </w:r>
    </w:p>
    <w:p>
      <w:pPr>
        <w:autoSpaceDE w:val="0"/>
        <w:autoSpaceDN w:val="0"/>
        <w:adjustRightInd w:val="0"/>
        <w:spacing w:after="0" w:line="240" w:lineRule="auto"/>
        <w:ind w:firstLine="640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商务部</w:t>
      </w:r>
      <w:r>
        <w:rPr>
          <w:rFonts w:hint="eastAsia" w:ascii="仿宋_GB2312" w:hAnsi="Times New Roman" w:eastAsia="仿宋_GB2312" w:cs="仿宋_GB2312"/>
          <w:sz w:val="32"/>
          <w:szCs w:val="32"/>
        </w:rPr>
        <w:t>将以示范基地自评报告为主要素材，组织编写《案例集》，宣传推广示范基地建设先进经验。各示范基地编制自评报告时，要围绕</w:t>
      </w:r>
      <w:r>
        <w:rPr>
          <w:rFonts w:hint="eastAsia" w:ascii="仿宋_GB2312" w:eastAsia="仿宋_GB2312" w:cs="仿宋_GB2312"/>
          <w:sz w:val="32"/>
          <w:szCs w:val="32"/>
        </w:rPr>
        <w:t>创新发展、</w:t>
      </w:r>
      <w:r>
        <w:rPr>
          <w:rFonts w:ascii="仿宋_GB2312" w:eastAsia="仿宋_GB2312" w:cs="仿宋_GB2312"/>
          <w:sz w:val="32"/>
          <w:szCs w:val="32"/>
        </w:rPr>
        <w:t>数实融合</w:t>
      </w:r>
      <w:r>
        <w:rPr>
          <w:rFonts w:hint="eastAsia" w:ascii="仿宋_GB2312" w:eastAsia="仿宋_GB2312" w:cs="仿宋_GB2312"/>
          <w:sz w:val="32"/>
          <w:szCs w:val="32"/>
        </w:rPr>
        <w:t>、产业促进、品牌培育、助农兴农、绿色发展、党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建设等领域</w:t>
      </w:r>
      <w:r>
        <w:rPr>
          <w:rFonts w:hint="eastAsia" w:ascii="仿宋_GB2312" w:hAnsi="Times New Roman" w:eastAsia="仿宋_GB2312" w:cs="仿宋_GB2312"/>
          <w:sz w:val="32"/>
          <w:szCs w:val="32"/>
        </w:rPr>
        <w:t>，将某一或若干领域特色突出、效果显著的做法写清写透（字体加黑标注），《案例集》将择优采纳。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NWZkOTJkYjY0MmY1NmViZTUxOGE1NjNmNTc3MzIifQ=="/>
  </w:docVars>
  <w:rsids>
    <w:rsidRoot w:val="72097EDA"/>
    <w:rsid w:val="4F7E3D02"/>
    <w:rsid w:val="5D6D0B56"/>
    <w:rsid w:val="720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816</Characters>
  <Lines>0</Lines>
  <Paragraphs>0</Paragraphs>
  <TotalTime>0</TotalTime>
  <ScaleCrop>false</ScaleCrop>
  <LinksUpToDate>false</LinksUpToDate>
  <CharactersWithSpaces>817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2023-06-08T02:51:00Z</dcterms:created>
  <dc:creator>宋昕超</dc:creator>
  <cp:lastModifiedBy>宋昕超</cp:lastModifiedBy>
  <dcterms:modified xsi:type="dcterms:W3CDTF">2023-06-09T04:17:35Z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174E9025BAEC4EBDBF2F86AA17DB3185_11</vt:lpwstr>
  </property>
</Properties>
</file>