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spacing w:after="0" w:line="440" w:lineRule="exact"/>
        <w:jc w:val="center"/>
        <w:rPr>
          <w:rFonts w:hint="eastAsia" w:asciiTheme="majorEastAsia" w:hAnsiTheme="majorEastAsia" w:eastAsiaTheme="majorEastAsia"/>
          <w:b/>
          <w:sz w:val="36"/>
          <w:szCs w:val="36"/>
        </w:rPr>
      </w:pPr>
    </w:p>
    <w:p>
      <w:pPr>
        <w:spacing w:after="0" w:line="440" w:lineRule="exact"/>
        <w:jc w:val="center"/>
        <w:rPr>
          <w:rFonts w:hint="eastAsia" w:asciiTheme="majorEastAsia" w:hAnsiTheme="majorEastAsia" w:eastAsiaTheme="majorEastAsia"/>
          <w:b/>
          <w:sz w:val="36"/>
          <w:szCs w:val="36"/>
          <w:lang w:eastAsia="zh-CN"/>
        </w:rPr>
      </w:pPr>
      <w:r>
        <w:rPr>
          <w:rFonts w:hint="eastAsia" w:asciiTheme="majorEastAsia" w:hAnsiTheme="majorEastAsia" w:eastAsiaTheme="majorEastAsia"/>
          <w:b/>
          <w:sz w:val="36"/>
          <w:szCs w:val="36"/>
        </w:rPr>
        <w:t>国家电子商务示范基地综合评价指标</w:t>
      </w:r>
      <w:r>
        <w:rPr>
          <w:rFonts w:hint="eastAsia" w:asciiTheme="majorEastAsia" w:hAnsiTheme="majorEastAsia" w:eastAsiaTheme="majorEastAsia"/>
          <w:b/>
          <w:sz w:val="36"/>
          <w:szCs w:val="36"/>
          <w:lang w:eastAsia="zh-CN"/>
        </w:rPr>
        <w:t>解释及证明材料清单</w:t>
      </w:r>
    </w:p>
    <w:p>
      <w:pPr>
        <w:spacing w:after="0" w:line="260" w:lineRule="exact"/>
        <w:rPr>
          <w:rFonts w:asciiTheme="majorEastAsia" w:hAnsiTheme="majorEastAsia" w:eastAsiaTheme="majorEastAsia" w:cstheme="majorEastAsia"/>
        </w:rPr>
      </w:pPr>
    </w:p>
    <w:tbl>
      <w:tblPr>
        <w:tblStyle w:val="3"/>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979"/>
        <w:gridCol w:w="851"/>
        <w:gridCol w:w="552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709"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一级</w:t>
            </w:r>
          </w:p>
          <w:p>
            <w:pPr>
              <w:spacing w:after="0" w:line="260" w:lineRule="exact"/>
              <w:contextualSpacing/>
              <w:jc w:val="center"/>
              <w:rPr>
                <w:rFonts w:asciiTheme="minorEastAsia" w:hAnsiTheme="minorEastAsia"/>
                <w:b/>
              </w:rPr>
            </w:pPr>
            <w:r>
              <w:rPr>
                <w:rFonts w:hint="eastAsia" w:asciiTheme="minorEastAsia" w:hAnsiTheme="minorEastAsia"/>
                <w:b/>
              </w:rPr>
              <w:t>指标</w:t>
            </w:r>
          </w:p>
        </w:tc>
        <w:tc>
          <w:tcPr>
            <w:tcW w:w="709"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二级</w:t>
            </w:r>
          </w:p>
          <w:p>
            <w:pPr>
              <w:spacing w:after="0" w:line="260" w:lineRule="exact"/>
              <w:contextualSpacing/>
              <w:jc w:val="center"/>
              <w:rPr>
                <w:rFonts w:asciiTheme="minorEastAsia" w:hAnsiTheme="minorEastAsia"/>
                <w:b/>
              </w:rPr>
            </w:pPr>
            <w:r>
              <w:rPr>
                <w:rFonts w:hint="eastAsia" w:asciiTheme="minorEastAsia" w:hAnsiTheme="minorEastAsia"/>
                <w:b/>
              </w:rPr>
              <w:t>指标</w:t>
            </w:r>
          </w:p>
        </w:tc>
        <w:tc>
          <w:tcPr>
            <w:tcW w:w="1979"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三级指标</w:t>
            </w:r>
          </w:p>
        </w:tc>
        <w:tc>
          <w:tcPr>
            <w:tcW w:w="851"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单位</w:t>
            </w:r>
          </w:p>
        </w:tc>
        <w:tc>
          <w:tcPr>
            <w:tcW w:w="5528"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指标解释与填报注意事项</w:t>
            </w:r>
          </w:p>
        </w:tc>
        <w:tc>
          <w:tcPr>
            <w:tcW w:w="3544"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证明材料提示</w:t>
            </w:r>
          </w:p>
          <w:p>
            <w:pPr>
              <w:spacing w:after="0" w:line="260" w:lineRule="exact"/>
              <w:contextualSpacing/>
              <w:jc w:val="center"/>
              <w:rPr>
                <w:rFonts w:asciiTheme="minorEastAsia" w:hAnsiTheme="minorEastAsia"/>
                <w:b/>
              </w:rPr>
            </w:pPr>
            <w:r>
              <w:rPr>
                <w:rFonts w:hint="eastAsia" w:asciiTheme="minorEastAsia" w:hAnsiTheme="minorEastAsia"/>
                <w:b/>
              </w:rPr>
              <w:t>（可以包括但不限于以下内容）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restart"/>
            <w:vAlign w:val="center"/>
          </w:tcPr>
          <w:p>
            <w:pPr>
              <w:spacing w:after="0" w:line="260" w:lineRule="exact"/>
              <w:contextualSpacing/>
              <w:jc w:val="center"/>
              <w:rPr>
                <w:rFonts w:ascii="黑体" w:hAnsi="黑体" w:eastAsia="黑体" w:cs="黑体"/>
                <w:bCs/>
                <w:sz w:val="24"/>
                <w:szCs w:val="24"/>
              </w:rPr>
            </w:pPr>
            <w:r>
              <w:rPr>
                <w:rFonts w:hint="eastAsia" w:ascii="黑体" w:hAnsi="黑体" w:eastAsia="黑体" w:cs="黑体"/>
                <w:bCs/>
                <w:sz w:val="24"/>
                <w:szCs w:val="24"/>
              </w:rPr>
              <w:t>承载</w:t>
            </w:r>
          </w:p>
          <w:p>
            <w:pPr>
              <w:spacing w:after="0" w:line="260" w:lineRule="exact"/>
              <w:contextualSpacing/>
              <w:jc w:val="center"/>
            </w:pPr>
            <w:r>
              <w:rPr>
                <w:rFonts w:hint="eastAsia" w:ascii="黑体" w:hAnsi="黑体" w:eastAsia="黑体" w:cs="黑体"/>
                <w:bCs/>
                <w:sz w:val="24"/>
                <w:szCs w:val="24"/>
              </w:rPr>
              <w:t>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基础</w:t>
            </w:r>
          </w:p>
          <w:p>
            <w:pPr>
              <w:spacing w:after="0" w:line="260" w:lineRule="exact"/>
              <w:contextualSpacing/>
              <w:jc w:val="center"/>
              <w:rPr>
                <w:rFonts w:ascii="楷体" w:hAnsi="楷体" w:eastAsia="楷体"/>
                <w:sz w:val="24"/>
                <w:szCs w:val="24"/>
              </w:rPr>
            </w:pPr>
            <w:r>
              <w:rPr>
                <w:rFonts w:hint="eastAsia" w:ascii="楷体" w:hAnsi="楷体" w:eastAsia="楷体"/>
                <w:sz w:val="24"/>
                <w:szCs w:val="24"/>
              </w:rPr>
              <w:t>硬件</w:t>
            </w: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电子商务企业</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建筑面积</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万平方米</w:t>
            </w:r>
          </w:p>
        </w:tc>
        <w:tc>
          <w:tcPr>
            <w:tcW w:w="5528" w:type="dxa"/>
            <w:vAlign w:val="center"/>
          </w:tcPr>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1.基地已投入使用的、用于电子商务企业办公的总体建筑面积，不包括用于仓储、配套等用途的建筑面积。</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2.在建和已建成未使用的面积不计入在内。</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3.电子商务企业的类型详见指标“电子商务企业数量”。</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提供电商企业办公建筑面积明细表，以楼宇或企业为单位进行统计。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配套服务区面积</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万平方米</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基地已投入使用的、用于为电子商务企业提供商业及生活配套的建筑面积，包括仓储面积，也包括为基地电子商务企业提供食宿、休闲娱乐等服务用途的建筑面积。</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提供配套服务面积明细表，以楼宇或配套功能区为单位进行统计。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平均网络带宽</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asciiTheme="minorEastAsia" w:hAnsiTheme="minorEastAsia" w:cstheme="majorEastAsia"/>
                <w:sz w:val="20"/>
                <w:szCs w:val="20"/>
              </w:rPr>
              <w:t>Mbps</w:t>
            </w:r>
          </w:p>
        </w:tc>
        <w:tc>
          <w:tcPr>
            <w:tcW w:w="5528" w:type="dxa"/>
            <w:vAlign w:val="center"/>
          </w:tcPr>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1.基地所有电子商务企业网络带宽之和与电子商务企业数量之间的比值。</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2.是平均带宽，而不是总带宽。</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3.建有数据中心的基地，其企业接入的网络带宽不包含数据中心的带宽。</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提供网络运营商协议等。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w:t>
            </w:r>
            <w:r>
              <w:rPr>
                <w:rFonts w:asciiTheme="minorEastAsia" w:hAnsiTheme="minorEastAsia"/>
                <w:sz w:val="20"/>
                <w:szCs w:val="20"/>
              </w:rPr>
              <w:t>物流协同发展</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基地是否有配套或协同发展的快递物流园区。</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主要做法、取得进展及成效，可以提供具体案例。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建设</w:t>
            </w:r>
            <w:r>
              <w:rPr>
                <w:rFonts w:asciiTheme="minorEastAsia" w:hAnsiTheme="minorEastAsia"/>
                <w:sz w:val="20"/>
                <w:szCs w:val="20"/>
              </w:rPr>
              <w:t>运营</w:t>
            </w:r>
            <w:r>
              <w:rPr>
                <w:rFonts w:hint="eastAsia" w:asciiTheme="minorEastAsia" w:hAnsiTheme="minorEastAsia"/>
                <w:sz w:val="20"/>
                <w:szCs w:val="20"/>
              </w:rPr>
              <w:t>海外仓</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基地是否在境外建设运营跨境电商海外仓。</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主要做法、取得进展及成效，可以提供具体案例。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入驻</w:t>
            </w:r>
          </w:p>
          <w:p>
            <w:pPr>
              <w:spacing w:after="0" w:line="260" w:lineRule="exact"/>
              <w:contextualSpacing/>
              <w:jc w:val="center"/>
              <w:rPr>
                <w:rFonts w:ascii="楷体" w:hAnsi="楷体" w:eastAsia="楷体"/>
                <w:sz w:val="24"/>
                <w:szCs w:val="24"/>
              </w:rPr>
            </w:pPr>
            <w:r>
              <w:rPr>
                <w:rFonts w:hint="eastAsia" w:ascii="楷体" w:hAnsi="楷体" w:eastAsia="楷体"/>
                <w:sz w:val="24"/>
                <w:szCs w:val="24"/>
              </w:rPr>
              <w:t>企业</w:t>
            </w: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电子商务企业数量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numPr>
                <w:ilvl w:val="0"/>
                <w:numId w:val="1"/>
              </w:numPr>
              <w:spacing w:after="0" w:line="260" w:lineRule="exact"/>
              <w:rPr>
                <w:rFonts w:asciiTheme="minorEastAsia" w:hAnsiTheme="minorEastAsia" w:cstheme="majorEastAsia"/>
                <w:sz w:val="20"/>
                <w:szCs w:val="20"/>
              </w:rPr>
            </w:pPr>
            <w:r>
              <w:rPr>
                <w:rFonts w:hint="eastAsia" w:asciiTheme="minorEastAsia" w:hAnsiTheme="minorEastAsia" w:cstheme="majorEastAsia"/>
                <w:sz w:val="20"/>
                <w:szCs w:val="20"/>
              </w:rPr>
              <w:t>报告期末入驻基地全部电子商务企业（含在孵电子商务企业）数量，主要包括电子商务平台企业、电子商务品牌经销企业、电子商务服务企业</w:t>
            </w:r>
            <w:r>
              <w:rPr>
                <w:rFonts w:hint="eastAsia" w:asciiTheme="minorEastAsia" w:hAnsiTheme="minorEastAsia" w:cstheme="majorEastAsia"/>
                <w:sz w:val="20"/>
                <w:szCs w:val="20"/>
                <w:lang w:eastAsia="zh-CN"/>
              </w:rPr>
              <w:t>三</w:t>
            </w:r>
            <w:r>
              <w:rPr>
                <w:rFonts w:hint="eastAsia" w:asciiTheme="minorEastAsia" w:hAnsiTheme="minorEastAsia" w:cstheme="majorEastAsia"/>
                <w:sz w:val="20"/>
                <w:szCs w:val="20"/>
              </w:rPr>
              <w:t>种类型。</w:t>
            </w:r>
          </w:p>
          <w:p>
            <w:pPr>
              <w:numPr>
                <w:ilvl w:val="0"/>
                <w:numId w:val="2"/>
              </w:numPr>
              <w:spacing w:after="0" w:line="260" w:lineRule="exact"/>
              <w:rPr>
                <w:rFonts w:asciiTheme="minorEastAsia" w:hAnsiTheme="minorEastAsia" w:cstheme="majorEastAsia"/>
                <w:sz w:val="20"/>
                <w:szCs w:val="20"/>
              </w:rPr>
            </w:pPr>
            <w:r>
              <w:rPr>
                <w:rFonts w:hint="eastAsia" w:asciiTheme="minorEastAsia" w:hAnsiTheme="minorEastAsia" w:cstheme="majorEastAsia"/>
                <w:sz w:val="20"/>
                <w:szCs w:val="20"/>
              </w:rPr>
              <w:t>电子商务平台企业。通过自建平台开展自营活动或者向第三方经营者提供平台服务的电子商务平台经营企业，包括提供实物商品零售或批发服务的自营平台企业，或为电子商务经营者提供交易服务的第三方平台企业，以及通过互联网等信息网络提供餐饮外卖、教育、医疗、文化、旅游、体育、本地生活等服务产品的企业。</w:t>
            </w:r>
          </w:p>
          <w:p>
            <w:pPr>
              <w:numPr>
                <w:ilvl w:val="0"/>
                <w:numId w:val="2"/>
              </w:numPr>
              <w:spacing w:after="0" w:line="260" w:lineRule="exact"/>
              <w:rPr>
                <w:rFonts w:asciiTheme="minorEastAsia" w:hAnsiTheme="minorEastAsia" w:cstheme="majorEastAsia"/>
                <w:sz w:val="20"/>
                <w:szCs w:val="20"/>
              </w:rPr>
            </w:pPr>
            <w:r>
              <w:rPr>
                <w:rFonts w:hint="eastAsia" w:asciiTheme="minorEastAsia" w:hAnsiTheme="minorEastAsia" w:cstheme="majorEastAsia"/>
                <w:sz w:val="20"/>
                <w:szCs w:val="20"/>
              </w:rPr>
              <w:t>电子商务品牌经销企业。通过第三方电子商务平台销售商品或提供服务的电子商务经营企业。</w:t>
            </w:r>
          </w:p>
          <w:p>
            <w:pPr>
              <w:numPr>
                <w:ilvl w:val="0"/>
                <w:numId w:val="2"/>
              </w:numPr>
              <w:spacing w:after="0" w:line="260" w:lineRule="exact"/>
              <w:rPr>
                <w:rFonts w:asciiTheme="minorEastAsia" w:hAnsiTheme="minorEastAsia" w:cstheme="majorEastAsia"/>
                <w:sz w:val="20"/>
                <w:szCs w:val="20"/>
              </w:rPr>
            </w:pPr>
            <w:r>
              <w:rPr>
                <w:rFonts w:hint="eastAsia" w:asciiTheme="minorEastAsia" w:hAnsiTheme="minorEastAsia" w:cstheme="majorEastAsia"/>
                <w:sz w:val="20"/>
                <w:szCs w:val="20"/>
              </w:rPr>
              <w:t>电子商务服务企业。为电子商务经营者提供营销（含直播）、技术、运营、数据、信用、咨询、培训、物流、金融支付、网红孵化与运营、外贸综合服务等电子商务相关服务的企业。</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2.</w:t>
            </w:r>
            <w:r>
              <w:rPr>
                <w:rFonts w:hint="eastAsia" w:asciiTheme="minorEastAsia" w:hAnsiTheme="minorEastAsia" w:cstheme="majorEastAsia"/>
                <w:sz w:val="20"/>
                <w:szCs w:val="20"/>
              </w:rPr>
              <w:t>涉农</w:t>
            </w:r>
            <w:r>
              <w:rPr>
                <w:rFonts w:asciiTheme="minorEastAsia" w:hAnsiTheme="minorEastAsia" w:cstheme="majorEastAsia"/>
                <w:sz w:val="20"/>
                <w:szCs w:val="20"/>
              </w:rPr>
              <w:t>电商企业</w:t>
            </w:r>
            <w:r>
              <w:rPr>
                <w:rFonts w:hint="eastAsia" w:asciiTheme="minorEastAsia" w:hAnsiTheme="minorEastAsia" w:cstheme="majorEastAsia"/>
                <w:sz w:val="20"/>
                <w:szCs w:val="20"/>
              </w:rPr>
              <w:t>。通过</w:t>
            </w:r>
            <w:r>
              <w:rPr>
                <w:rFonts w:asciiTheme="minorEastAsia" w:hAnsiTheme="minorEastAsia" w:cstheme="majorEastAsia"/>
                <w:sz w:val="20"/>
                <w:szCs w:val="20"/>
              </w:rPr>
              <w:t>电子商务</w:t>
            </w:r>
            <w:r>
              <w:rPr>
                <w:rFonts w:hint="eastAsia" w:asciiTheme="minorEastAsia" w:hAnsiTheme="minorEastAsia" w:cstheme="majorEastAsia"/>
                <w:sz w:val="20"/>
                <w:szCs w:val="20"/>
              </w:rPr>
              <w:t>助力工业品下乡、农产品进城，开展</w:t>
            </w:r>
            <w:r>
              <w:rPr>
                <w:rFonts w:asciiTheme="minorEastAsia" w:hAnsiTheme="minorEastAsia" w:cstheme="majorEastAsia"/>
                <w:sz w:val="20"/>
                <w:szCs w:val="20"/>
              </w:rPr>
              <w:t>农村电商新基建，</w:t>
            </w:r>
            <w:r>
              <w:rPr>
                <w:rFonts w:hint="eastAsia" w:asciiTheme="minorEastAsia" w:hAnsiTheme="minorEastAsia" w:cstheme="majorEastAsia"/>
                <w:sz w:val="20"/>
                <w:szCs w:val="20"/>
              </w:rPr>
              <w:t>培养</w:t>
            </w:r>
            <w:r>
              <w:rPr>
                <w:rFonts w:asciiTheme="minorEastAsia" w:hAnsiTheme="minorEastAsia" w:cstheme="majorEastAsia"/>
                <w:sz w:val="20"/>
                <w:szCs w:val="20"/>
              </w:rPr>
              <w:t>农村电商人才，</w:t>
            </w:r>
            <w:r>
              <w:rPr>
                <w:rFonts w:hint="eastAsia" w:asciiTheme="minorEastAsia" w:hAnsiTheme="minorEastAsia" w:cstheme="majorEastAsia"/>
                <w:sz w:val="20"/>
                <w:szCs w:val="20"/>
              </w:rPr>
              <w:t>服务农业</w:t>
            </w:r>
            <w:r>
              <w:rPr>
                <w:rFonts w:asciiTheme="minorEastAsia" w:hAnsiTheme="minorEastAsia" w:cstheme="majorEastAsia"/>
                <w:sz w:val="20"/>
                <w:szCs w:val="20"/>
              </w:rPr>
              <w:t>、农村、农民</w:t>
            </w:r>
            <w:r>
              <w:rPr>
                <w:rFonts w:hint="eastAsia" w:asciiTheme="minorEastAsia" w:hAnsiTheme="minorEastAsia" w:cstheme="majorEastAsia"/>
                <w:sz w:val="20"/>
                <w:szCs w:val="20"/>
              </w:rPr>
              <w:t>的电商</w:t>
            </w:r>
            <w:r>
              <w:rPr>
                <w:rFonts w:asciiTheme="minorEastAsia" w:hAnsiTheme="minorEastAsia" w:cstheme="majorEastAsia"/>
                <w:sz w:val="20"/>
                <w:szCs w:val="20"/>
              </w:rPr>
              <w:t>企业</w:t>
            </w:r>
            <w:r>
              <w:rPr>
                <w:rFonts w:hint="eastAsia" w:asciiTheme="minorEastAsia" w:hAnsiTheme="minorEastAsia" w:cstheme="majorEastAsia"/>
                <w:sz w:val="20"/>
                <w:szCs w:val="20"/>
              </w:rPr>
              <w:t>。</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3.基地外电商企业不计入在内。</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提供电商企业名单，并列明以下内容：企业名称、企业法人、主营业务、营业地址。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电子商务企业</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入驻率</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asciiTheme="minorEastAsia" w:hAnsiTheme="minorEastAsia" w:cstheme="majorEastAsia"/>
                <w:sz w:val="20"/>
                <w:szCs w:val="20"/>
              </w:rPr>
              <w:t>%</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基地电子商务企业数量与全部入驻企业数量之间的比值。</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提供全部入驻企业数量及证明材料。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电子商务企业</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增长率</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asciiTheme="minorEastAsia" w:hAnsiTheme="minorEastAsia" w:cstheme="majorEastAsia"/>
                <w:sz w:val="20"/>
                <w:szCs w:val="20"/>
              </w:rPr>
              <w:t>%</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计算公式为（报告期末基地电子商务企业数量</w:t>
            </w:r>
            <w:r>
              <w:rPr>
                <w:rFonts w:asciiTheme="minorEastAsia" w:hAnsiTheme="minorEastAsia" w:cstheme="majorEastAsia"/>
                <w:sz w:val="20"/>
                <w:szCs w:val="20"/>
              </w:rPr>
              <w:t>/上一年基地电子商务企业数量-1）×100%。</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提供上一年基地电子商务企业数量及证明材料。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入选全国商业科技创新应用优秀案例企业数量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报告期内基地拥有入选商务部确定的全国商业科技创新应用优秀案例企业</w:t>
            </w:r>
            <w:r>
              <w:rPr>
                <w:rFonts w:asciiTheme="minorEastAsia" w:hAnsiTheme="minorEastAsia" w:cstheme="majorEastAsia"/>
                <w:sz w:val="20"/>
                <w:szCs w:val="20"/>
              </w:rPr>
              <w:t>数量。</w:t>
            </w:r>
          </w:p>
        </w:tc>
        <w:tc>
          <w:tcPr>
            <w:tcW w:w="3544" w:type="dxa"/>
            <w:vAlign w:val="center"/>
          </w:tcPr>
          <w:p>
            <w:pPr>
              <w:spacing w:after="0" w:line="260" w:lineRule="exact"/>
              <w:ind w:firstLine="1100" w:firstLineChars="55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省级电子商务示范</w:t>
            </w:r>
          </w:p>
          <w:p>
            <w:pPr>
              <w:spacing w:after="0" w:line="260" w:lineRule="exact"/>
              <w:contextualSpacing/>
              <w:jc w:val="center"/>
              <w:rPr>
                <w:rFonts w:asciiTheme="minorEastAsia" w:hAnsiTheme="minorEastAsia" w:cstheme="majorEastAsia"/>
                <w:sz w:val="20"/>
                <w:szCs w:val="20"/>
                <w:highlight w:val="yellow"/>
              </w:rPr>
            </w:pPr>
            <w:r>
              <w:rPr>
                <w:rFonts w:hint="eastAsia" w:asciiTheme="minorEastAsia" w:hAnsiTheme="minorEastAsia" w:cstheme="majorEastAsia"/>
                <w:sz w:val="20"/>
                <w:szCs w:val="20"/>
              </w:rPr>
              <w:t>企业数量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报告期内基地拥有省级商务主管部门认定的电子商务示范企业数量。</w:t>
            </w:r>
          </w:p>
        </w:tc>
        <w:tc>
          <w:tcPr>
            <w:tcW w:w="3544" w:type="dxa"/>
            <w:vAlign w:val="center"/>
          </w:tcPr>
          <w:p>
            <w:pPr>
              <w:spacing w:after="0" w:line="260" w:lineRule="exact"/>
              <w:ind w:firstLine="1100" w:firstLineChars="55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列入商务部“商贸流通业典型统计调查企业”的电子商务企业数量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报告期内基地列入商务部“商贸流通业典型统计调查企业”的电子商务企业数量。</w:t>
            </w:r>
          </w:p>
        </w:tc>
        <w:tc>
          <w:tcPr>
            <w:tcW w:w="3544" w:type="dxa"/>
            <w:vAlign w:val="center"/>
          </w:tcPr>
          <w:p>
            <w:pPr>
              <w:spacing w:after="0" w:line="260" w:lineRule="exact"/>
              <w:ind w:firstLine="1200" w:firstLineChars="60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restart"/>
            <w:vAlign w:val="center"/>
          </w:tcPr>
          <w:p>
            <w:pPr>
              <w:spacing w:after="0" w:line="260" w:lineRule="exact"/>
              <w:contextualSpacing/>
              <w:jc w:val="center"/>
              <w:rPr>
                <w:rFonts w:ascii="黑体" w:hAnsi="黑体" w:eastAsia="黑体" w:cs="黑体"/>
                <w:bCs/>
              </w:rPr>
            </w:pPr>
            <w:r>
              <w:rPr>
                <w:rFonts w:hint="eastAsia" w:ascii="黑体" w:hAnsi="黑体" w:eastAsia="黑体" w:cs="黑体"/>
                <w:bCs/>
                <w:sz w:val="24"/>
                <w:szCs w:val="24"/>
              </w:rPr>
              <w:t>服务能力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金融服务</w:t>
            </w: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获得基地金融服务的电子商务企业数量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报告期内获得基地金融服务的电子商务企业数量，包括但不限于股权投资、借贷服务等。</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提供企业名单，并列明以下内容：企业名称、企业法人、主营业务。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rPr>
                <w:color w:val="FF0000"/>
              </w:rPr>
            </w:pPr>
          </w:p>
        </w:tc>
        <w:tc>
          <w:tcPr>
            <w:tcW w:w="709" w:type="dxa"/>
            <w:vMerge w:val="continue"/>
            <w:vAlign w:val="center"/>
          </w:tcPr>
          <w:p>
            <w:pPr>
              <w:spacing w:after="0" w:line="260" w:lineRule="exact"/>
              <w:contextualSpacing/>
              <w:jc w:val="center"/>
              <w:rPr>
                <w:rFonts w:ascii="楷体" w:hAnsi="楷体" w:eastAsia="楷体"/>
                <w:color w:val="FF0000"/>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电子商务企业获得</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投融资总额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报告期内基地电子商务企业通过基地设立的投资基金或基地引荐的方式获得的投融资总额。</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融资明细，列明以下内容：获得融资企业名单（企业名称、企业法人、主营业务）、各企业融资金额、资金来源、融资类型；可以与指标“获得基地金融服务的电子商务企业数量”的证明材料共用表格。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rPr>
                <w:color w:val="FF0000"/>
              </w:rPr>
            </w:pPr>
          </w:p>
        </w:tc>
        <w:tc>
          <w:tcPr>
            <w:tcW w:w="709" w:type="dxa"/>
            <w:vMerge w:val="restart"/>
            <w:vAlign w:val="center"/>
          </w:tcPr>
          <w:p>
            <w:pPr>
              <w:spacing w:after="0" w:line="260" w:lineRule="exact"/>
              <w:contextualSpacing/>
              <w:rPr>
                <w:rFonts w:ascii="楷体" w:hAnsi="楷体" w:eastAsia="楷体"/>
                <w:sz w:val="24"/>
                <w:szCs w:val="24"/>
              </w:rPr>
            </w:pPr>
            <w:r>
              <w:rPr>
                <w:rFonts w:hint="eastAsia" w:ascii="楷体" w:hAnsi="楷体" w:eastAsia="楷体"/>
                <w:sz w:val="24"/>
                <w:szCs w:val="24"/>
              </w:rPr>
              <w:t>人才服务</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电子商务人才引进与培养政策</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截至报告期末，基地是否设立或实施电子商务人才引进政策；是否设立或实施电子商务人才培养政策。</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政策文件名称、复印件。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年度电子商务</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培训人次</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人次</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1.报告期内，基地组织的电子商务培训总人次数。</w:t>
            </w:r>
          </w:p>
          <w:p>
            <w:pPr>
              <w:spacing w:after="0" w:line="260" w:lineRule="exact"/>
              <w:contextualSpacing/>
              <w:rPr>
                <w:rFonts w:asciiTheme="minorEastAsia" w:hAnsiTheme="minorEastAsia"/>
                <w:sz w:val="20"/>
                <w:szCs w:val="20"/>
              </w:rPr>
            </w:pPr>
            <w:r>
              <w:rPr>
                <w:rFonts w:asciiTheme="minorEastAsia" w:hAnsiTheme="minorEastAsia"/>
                <w:sz w:val="20"/>
                <w:szCs w:val="20"/>
              </w:rPr>
              <w:t>2.其他领域培训不计入在内。</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明细列表，包括培训班或培训活动主题、日期、培训人数、培训照片、批准文件等。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为农村</w:t>
            </w:r>
            <w:r>
              <w:rPr>
                <w:rFonts w:asciiTheme="minorEastAsia" w:hAnsiTheme="minorEastAsia"/>
                <w:sz w:val="20"/>
                <w:szCs w:val="20"/>
              </w:rPr>
              <w:t>地区</w:t>
            </w:r>
            <w:r>
              <w:rPr>
                <w:rFonts w:hint="eastAsia" w:asciiTheme="minorEastAsia" w:hAnsiTheme="minorEastAsia"/>
                <w:sz w:val="20"/>
                <w:szCs w:val="20"/>
              </w:rPr>
              <w:t>开展</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电子商务培训人次</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人次</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1.报告期内，基地为农村地区</w:t>
            </w:r>
            <w:r>
              <w:rPr>
                <w:rFonts w:hint="eastAsia" w:asciiTheme="minorEastAsia" w:hAnsiTheme="minorEastAsia"/>
                <w:sz w:val="20"/>
                <w:szCs w:val="20"/>
              </w:rPr>
              <w:t>组织开展的电子商务培训总人次数。</w:t>
            </w:r>
          </w:p>
          <w:p>
            <w:pPr>
              <w:spacing w:after="0" w:line="260" w:lineRule="exact"/>
              <w:contextualSpacing/>
              <w:rPr>
                <w:rFonts w:asciiTheme="minorEastAsia" w:hAnsiTheme="minorEastAsia"/>
                <w:sz w:val="20"/>
                <w:szCs w:val="20"/>
              </w:rPr>
            </w:pPr>
            <w:r>
              <w:rPr>
                <w:rFonts w:asciiTheme="minorEastAsia" w:hAnsiTheme="minorEastAsia"/>
                <w:sz w:val="20"/>
                <w:szCs w:val="20"/>
              </w:rPr>
              <w:t>2.其他领域培训不计入在内。</w:t>
            </w:r>
          </w:p>
          <w:p>
            <w:pPr>
              <w:spacing w:after="0" w:line="260" w:lineRule="exact"/>
              <w:contextualSpacing/>
              <w:rPr>
                <w:rFonts w:asciiTheme="minorEastAsia" w:hAnsiTheme="minorEastAsia"/>
                <w:sz w:val="20"/>
                <w:szCs w:val="20"/>
              </w:rPr>
            </w:pPr>
            <w:r>
              <w:rPr>
                <w:rFonts w:asciiTheme="minorEastAsia" w:hAnsiTheme="minorEastAsia"/>
                <w:sz w:val="20"/>
                <w:szCs w:val="20"/>
              </w:rPr>
              <w:t>3.前一指标</w:t>
            </w:r>
            <w:r>
              <w:rPr>
                <w:rFonts w:hint="eastAsia" w:asciiTheme="minorEastAsia" w:hAnsiTheme="minorEastAsia"/>
                <w:sz w:val="20"/>
                <w:szCs w:val="20"/>
              </w:rPr>
              <w:t>“年度电子商务培训人次”的</w:t>
            </w:r>
            <w:r>
              <w:rPr>
                <w:rFonts w:asciiTheme="minorEastAsia" w:hAnsiTheme="minorEastAsia"/>
                <w:sz w:val="20"/>
                <w:szCs w:val="20"/>
              </w:rPr>
              <w:t>统计数据应包含</w:t>
            </w:r>
            <w:r>
              <w:rPr>
                <w:rFonts w:hint="eastAsia" w:asciiTheme="minorEastAsia" w:hAnsiTheme="minorEastAsia"/>
                <w:sz w:val="20"/>
                <w:szCs w:val="20"/>
              </w:rPr>
              <w:t>该</w:t>
            </w:r>
            <w:r>
              <w:rPr>
                <w:rFonts w:asciiTheme="minorEastAsia" w:hAnsiTheme="minorEastAsia"/>
                <w:sz w:val="20"/>
                <w:szCs w:val="20"/>
              </w:rPr>
              <w:t>指标统计数据</w:t>
            </w:r>
            <w:r>
              <w:rPr>
                <w:rFonts w:hint="eastAsia" w:asciiTheme="minorEastAsia" w:hAnsiTheme="minorEastAsia"/>
                <w:sz w:val="20"/>
                <w:szCs w:val="20"/>
              </w:rPr>
              <w:t>。</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明细列表，包括培训班或培训活动主题、日期、培训人数、培训照片、批准文件等。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输送电子商务人才</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数量</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1.报告期内，基地为基地内及周边电子商务企业输送的电子商务人才数量。</w:t>
            </w:r>
          </w:p>
          <w:p>
            <w:pPr>
              <w:spacing w:after="0" w:line="260" w:lineRule="exact"/>
              <w:contextualSpacing/>
              <w:rPr>
                <w:rFonts w:asciiTheme="minorEastAsia" w:hAnsiTheme="minorEastAsia"/>
                <w:sz w:val="20"/>
                <w:szCs w:val="20"/>
              </w:rPr>
            </w:pPr>
            <w:r>
              <w:rPr>
                <w:rFonts w:asciiTheme="minorEastAsia" w:hAnsiTheme="minorEastAsia"/>
                <w:sz w:val="20"/>
                <w:szCs w:val="20"/>
              </w:rPr>
              <w:t>2.输送人才与培训人数不是一个概念，两者不能划等号。</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接收电商人才企业名单、人数、专业特长等。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孵化服务</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在孵电子商务企业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数量</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个</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报告期末基地孵化器内在孵电子商务企业数量。</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在孵企业名单，包括企业名称、办公地址、入驻时间等。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电商企业孵化</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成功率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1.计算公式：报告期内孵化毕业企业数/（报告期末在孵企业数+报告期内孵化毕业企业数）×100%。</w:t>
            </w:r>
          </w:p>
          <w:p>
            <w:pPr>
              <w:spacing w:after="0" w:line="260" w:lineRule="exact"/>
              <w:contextualSpacing/>
              <w:rPr>
                <w:rFonts w:asciiTheme="minorEastAsia" w:hAnsiTheme="minorEastAsia"/>
                <w:sz w:val="20"/>
                <w:szCs w:val="20"/>
              </w:rPr>
            </w:pPr>
            <w:r>
              <w:rPr>
                <w:rFonts w:asciiTheme="minorEastAsia" w:hAnsiTheme="minorEastAsia"/>
                <w:sz w:val="20"/>
                <w:szCs w:val="20"/>
              </w:rPr>
              <w:t>2.该指标</w:t>
            </w:r>
            <w:r>
              <w:rPr>
                <w:rFonts w:hint="eastAsia" w:asciiTheme="minorEastAsia" w:hAnsiTheme="minorEastAsia"/>
                <w:sz w:val="20"/>
                <w:szCs w:val="20"/>
              </w:rPr>
              <w:t>如果填报</w:t>
            </w:r>
            <w:r>
              <w:rPr>
                <w:rFonts w:asciiTheme="minorEastAsia" w:hAnsiTheme="minorEastAsia"/>
                <w:sz w:val="20"/>
                <w:szCs w:val="20"/>
              </w:rPr>
              <w:t>100%，“在孵电子商务企业数量”应为0。</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孵化毕业企业名单，包括企业名称、企业法人、主营业务、营业地址。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公共服务</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专业服务</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1.基地是否</w:t>
            </w:r>
            <w:r>
              <w:rPr>
                <w:rFonts w:hint="eastAsia" w:asciiTheme="minorEastAsia" w:hAnsiTheme="minorEastAsia"/>
                <w:sz w:val="20"/>
                <w:szCs w:val="20"/>
              </w:rPr>
              <w:t>为入驻企业提供</w:t>
            </w:r>
            <w:r>
              <w:rPr>
                <w:rFonts w:asciiTheme="minorEastAsia" w:hAnsiTheme="minorEastAsia"/>
                <w:sz w:val="20"/>
                <w:szCs w:val="20"/>
              </w:rPr>
              <w:t>仓储物流、</w:t>
            </w:r>
            <w:r>
              <w:rPr>
                <w:rFonts w:hint="eastAsia" w:asciiTheme="minorEastAsia" w:hAnsiTheme="minorEastAsia"/>
                <w:sz w:val="20"/>
                <w:szCs w:val="20"/>
              </w:rPr>
              <w:t>摄影美工、</w:t>
            </w:r>
            <w:r>
              <w:rPr>
                <w:rFonts w:asciiTheme="minorEastAsia" w:hAnsiTheme="minorEastAsia"/>
                <w:sz w:val="20"/>
                <w:szCs w:val="20"/>
              </w:rPr>
              <w:t>客服托管</w:t>
            </w:r>
            <w:r>
              <w:rPr>
                <w:rFonts w:hint="eastAsia" w:asciiTheme="minorEastAsia" w:hAnsiTheme="minorEastAsia"/>
                <w:sz w:val="20"/>
                <w:szCs w:val="20"/>
              </w:rPr>
              <w:t>、</w:t>
            </w:r>
            <w:r>
              <w:rPr>
                <w:rFonts w:asciiTheme="minorEastAsia" w:hAnsiTheme="minorEastAsia"/>
                <w:sz w:val="20"/>
                <w:szCs w:val="20"/>
              </w:rPr>
              <w:t>代运营</w:t>
            </w:r>
            <w:r>
              <w:rPr>
                <w:rFonts w:hint="eastAsia" w:asciiTheme="minorEastAsia" w:hAnsiTheme="minorEastAsia"/>
                <w:sz w:val="20"/>
                <w:szCs w:val="20"/>
              </w:rPr>
              <w:t>、会计事务、专利申办、评估咨询、法律支持等专业服务。</w:t>
            </w:r>
          </w:p>
          <w:p>
            <w:pPr>
              <w:spacing w:after="0" w:line="260" w:lineRule="exact"/>
              <w:contextualSpacing/>
              <w:rPr>
                <w:rFonts w:asciiTheme="minorEastAsia" w:hAnsiTheme="minorEastAsia"/>
                <w:sz w:val="20"/>
                <w:szCs w:val="20"/>
              </w:rPr>
            </w:pPr>
            <w:r>
              <w:rPr>
                <w:rFonts w:asciiTheme="minorEastAsia" w:hAnsiTheme="minorEastAsia"/>
                <w:sz w:val="20"/>
                <w:szCs w:val="20"/>
              </w:rPr>
              <w:t>2.有关融资、人才、创业、跨境电商等服务不在</w:t>
            </w:r>
            <w:r>
              <w:rPr>
                <w:rFonts w:hint="eastAsia" w:asciiTheme="minorEastAsia" w:hAnsiTheme="minorEastAsia"/>
                <w:sz w:val="20"/>
                <w:szCs w:val="20"/>
              </w:rPr>
              <w:t>“</w:t>
            </w:r>
            <w:r>
              <w:rPr>
                <w:rFonts w:asciiTheme="minorEastAsia" w:hAnsiTheme="minorEastAsia"/>
                <w:sz w:val="20"/>
                <w:szCs w:val="20"/>
              </w:rPr>
              <w:t>其他</w:t>
            </w:r>
            <w:r>
              <w:rPr>
                <w:rFonts w:hint="eastAsia" w:asciiTheme="minorEastAsia" w:hAnsiTheme="minorEastAsia"/>
                <w:sz w:val="20"/>
                <w:szCs w:val="20"/>
              </w:rPr>
              <w:t>”</w:t>
            </w:r>
            <w:r>
              <w:rPr>
                <w:rFonts w:asciiTheme="minorEastAsia" w:hAnsiTheme="minorEastAsia"/>
                <w:sz w:val="20"/>
                <w:szCs w:val="20"/>
              </w:rPr>
              <w:t>专业服务中体现。</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各项服务提供机构、方式、相关管理规范文件等。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行政服务</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1.基地是否为入驻企业提供工商注册、年审年检、税务登记、项目申报等便利服务。</w:t>
            </w:r>
          </w:p>
          <w:p>
            <w:pPr>
              <w:spacing w:after="0" w:line="260" w:lineRule="exact"/>
              <w:contextualSpacing/>
              <w:rPr>
                <w:rFonts w:asciiTheme="minorEastAsia" w:hAnsiTheme="minorEastAsia"/>
                <w:sz w:val="20"/>
                <w:szCs w:val="20"/>
              </w:rPr>
            </w:pPr>
            <w:r>
              <w:rPr>
                <w:rFonts w:asciiTheme="minorEastAsia" w:hAnsiTheme="minorEastAsia"/>
                <w:sz w:val="20"/>
                <w:szCs w:val="20"/>
              </w:rPr>
              <w:t>2.有关融资、人才、创业、跨境电商等服务不在</w:t>
            </w:r>
            <w:r>
              <w:rPr>
                <w:rFonts w:hint="eastAsia" w:asciiTheme="minorEastAsia" w:hAnsiTheme="minorEastAsia"/>
                <w:sz w:val="20"/>
                <w:szCs w:val="20"/>
              </w:rPr>
              <w:t>“</w:t>
            </w:r>
            <w:r>
              <w:rPr>
                <w:rFonts w:asciiTheme="minorEastAsia" w:hAnsiTheme="minorEastAsia"/>
                <w:sz w:val="20"/>
                <w:szCs w:val="20"/>
              </w:rPr>
              <w:t>其他</w:t>
            </w:r>
            <w:r>
              <w:rPr>
                <w:rFonts w:hint="eastAsia" w:asciiTheme="minorEastAsia" w:hAnsiTheme="minorEastAsia"/>
                <w:sz w:val="20"/>
                <w:szCs w:val="20"/>
              </w:rPr>
              <w:t>”</w:t>
            </w:r>
            <w:r>
              <w:rPr>
                <w:rFonts w:asciiTheme="minorEastAsia" w:hAnsiTheme="minorEastAsia"/>
                <w:sz w:val="20"/>
                <w:szCs w:val="20"/>
              </w:rPr>
              <w:t>行政便利化服务中体现。</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各项服务提供机构、方式、相关管理规范文件等。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restart"/>
            <w:vAlign w:val="center"/>
          </w:tcPr>
          <w:p>
            <w:pPr>
              <w:spacing w:after="0" w:line="260" w:lineRule="exact"/>
              <w:contextualSpacing/>
              <w:jc w:val="center"/>
              <w:rPr>
                <w:rFonts w:ascii="华文细黑" w:hAnsi="华文细黑" w:eastAsia="华文细黑"/>
                <w:b/>
              </w:rPr>
            </w:pPr>
            <w:r>
              <w:rPr>
                <w:rFonts w:hint="eastAsia" w:ascii="黑体" w:hAnsi="黑体" w:eastAsia="黑体" w:cs="黑体"/>
                <w:bCs/>
                <w:sz w:val="24"/>
                <w:szCs w:val="24"/>
              </w:rPr>
              <w:t>保障能力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党建水平</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党员人数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基地所有电子商务企业的员工中党员总数，包括正式党员和预备党员。</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按企业统计，包括企业名单、党员人数；与“全体电子商务企业从业人数”等指标的证明材料可共用一张表格。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设立党组织的</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电商企业数量</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个</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基地内设立党组织的电子商务企业总数。</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设立党组织的电商企业名单（与地方联合组建的党组织需注明）。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责任落实</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为落实党建工作责任制，基地是否开展以下工作：将党建工作同业务工作同部署、同检查、同总结；落实“三会一课”制度；开展理想信念和法规法纪教育；开展经常性思想工作；召开民主生活会、组织生活会，开展党建述职、民主评议党员活动；积极发展党员；收缴党费并合理使用管理；加强流动党员管理，党组织关系</w:t>
            </w:r>
            <w:r>
              <w:rPr>
                <w:rFonts w:hint="eastAsia" w:asciiTheme="minorEastAsia" w:hAnsiTheme="minorEastAsia"/>
                <w:sz w:val="20"/>
                <w:szCs w:val="20"/>
                <w:lang w:eastAsia="zh-CN"/>
              </w:rPr>
              <w:t>接转</w:t>
            </w:r>
            <w:r>
              <w:rPr>
                <w:rFonts w:hint="eastAsia" w:asciiTheme="minorEastAsia" w:hAnsiTheme="minorEastAsia"/>
                <w:sz w:val="20"/>
                <w:szCs w:val="20"/>
              </w:rPr>
              <w:t>及时规范到位；依法稳妥处置不合格党员。</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党风廉政</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在加强党风廉政建设方面，基地是否开展以下工作：党组织执行政治纪律和政治规矩；定期开展党风廉政建设和反腐倡廉教育。</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党组织</w:t>
            </w:r>
            <w:r>
              <w:rPr>
                <w:rFonts w:asciiTheme="minorEastAsia" w:hAnsiTheme="minorEastAsia"/>
                <w:sz w:val="20"/>
                <w:szCs w:val="20"/>
              </w:rPr>
              <w:t>表彰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基地受到上级党组织表彰先进党委、党总支、党支部的情况</w:t>
            </w:r>
            <w:r>
              <w:rPr>
                <w:rFonts w:asciiTheme="minorEastAsia" w:hAnsiTheme="minorEastAsia"/>
                <w:sz w:val="20"/>
                <w:szCs w:val="20"/>
              </w:rPr>
              <w:t>。</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相关证书</w:t>
            </w:r>
            <w:r>
              <w:rPr>
                <w:rFonts w:asciiTheme="minorEastAsia" w:hAnsiTheme="minorEastAsia"/>
                <w:sz w:val="20"/>
                <w:szCs w:val="20"/>
              </w:rPr>
              <w:t>、</w:t>
            </w:r>
            <w:r>
              <w:rPr>
                <w:rFonts w:hint="eastAsia" w:asciiTheme="minorEastAsia" w:hAnsiTheme="minorEastAsia"/>
                <w:sz w:val="20"/>
                <w:szCs w:val="20"/>
              </w:rPr>
              <w:t>报道、会议记录等。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环境营造</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报告协调机制</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基地是否与地方商务主管部门建立报告协调机制。</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相关通知、报告、报道、会议记录等。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统计监测</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截至报告期末，基地是否开展电子商务统计监测工作；是否及时上报信息、数据并保证数据的真实准确。</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实施电子商务统计监测的制度、方案相关文件及表格等。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电商专项政策支持</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1.截至报告期末，基地所在地方是否制定并实施支持基地电子商务发展和示范建设的专项政策。</w:t>
            </w:r>
          </w:p>
          <w:p>
            <w:pPr>
              <w:spacing w:after="0" w:line="260" w:lineRule="exact"/>
              <w:contextualSpacing/>
              <w:rPr>
                <w:rFonts w:asciiTheme="minorEastAsia" w:hAnsiTheme="minorEastAsia"/>
                <w:sz w:val="20"/>
                <w:szCs w:val="20"/>
              </w:rPr>
            </w:pPr>
            <w:r>
              <w:rPr>
                <w:rFonts w:asciiTheme="minorEastAsia" w:hAnsiTheme="minorEastAsia"/>
                <w:sz w:val="20"/>
                <w:szCs w:val="20"/>
              </w:rPr>
              <w:t>2.不应以所在地区的普惠性质的扶持政策代替基地的电商专项政策。</w:t>
            </w:r>
          </w:p>
          <w:p>
            <w:pPr>
              <w:spacing w:after="0" w:line="260" w:lineRule="exact"/>
              <w:contextualSpacing/>
              <w:rPr>
                <w:rFonts w:asciiTheme="minorEastAsia" w:hAnsiTheme="minorEastAsia"/>
                <w:sz w:val="20"/>
                <w:szCs w:val="20"/>
              </w:rPr>
            </w:pPr>
            <w:r>
              <w:rPr>
                <w:rFonts w:asciiTheme="minorEastAsia" w:hAnsiTheme="minorEastAsia"/>
                <w:sz w:val="20"/>
                <w:szCs w:val="20"/>
              </w:rPr>
              <w:t>3.不应以非电商政策代替。</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政策文件名称、编号、复印件等。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电商基地运营年限</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年</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1.截至报告期末，基地开园运营年限。</w:t>
            </w:r>
          </w:p>
          <w:p>
            <w:pPr>
              <w:spacing w:after="0" w:line="260" w:lineRule="exact"/>
              <w:contextualSpacing/>
              <w:rPr>
                <w:rFonts w:asciiTheme="minorEastAsia" w:hAnsiTheme="minorEastAsia"/>
                <w:sz w:val="20"/>
                <w:szCs w:val="20"/>
              </w:rPr>
            </w:pPr>
            <w:r>
              <w:rPr>
                <w:rFonts w:asciiTheme="minorEastAsia" w:hAnsiTheme="minorEastAsia"/>
                <w:sz w:val="20"/>
                <w:szCs w:val="20"/>
              </w:rPr>
              <w:t>2.按照基地自第一家电子商务企业入驻之日计算，此时间点若早于正式开园时间，按开园时间计算。</w:t>
            </w:r>
          </w:p>
          <w:p>
            <w:pPr>
              <w:spacing w:after="0" w:line="260" w:lineRule="exact"/>
              <w:contextualSpacing/>
              <w:rPr>
                <w:rFonts w:asciiTheme="minorEastAsia" w:hAnsiTheme="minorEastAsia"/>
                <w:sz w:val="20"/>
                <w:szCs w:val="20"/>
              </w:rPr>
            </w:pPr>
            <w:r>
              <w:rPr>
                <w:rFonts w:asciiTheme="minorEastAsia" w:hAnsiTheme="minorEastAsia"/>
                <w:sz w:val="20"/>
                <w:szCs w:val="20"/>
              </w:rPr>
              <w:t>3.可以细化到月份，如2年8个月。</w:t>
            </w:r>
          </w:p>
          <w:p>
            <w:pPr>
              <w:spacing w:after="0" w:line="260" w:lineRule="exact"/>
              <w:contextualSpacing/>
              <w:rPr>
                <w:rFonts w:asciiTheme="minorEastAsia" w:hAnsiTheme="minorEastAsia"/>
                <w:sz w:val="20"/>
                <w:szCs w:val="20"/>
              </w:rPr>
            </w:pPr>
            <w:r>
              <w:rPr>
                <w:rFonts w:asciiTheme="minorEastAsia" w:hAnsiTheme="minorEastAsia"/>
                <w:sz w:val="20"/>
                <w:szCs w:val="20"/>
              </w:rPr>
              <w:t>4.不应是工业区、高新区、经开区等其他类型园区设立或建区年限。</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有关批复文件、新闻报道等。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宣传交流</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基地是否及时总结好经验、好做法，梳理典型案例，在各种媒体进行宣传推广；通过会议、论坛、交流活动等开展政产学研合作。</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活动照片、新闻报道，包括日期、媒体、报道名称、主要内容等。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典型</w:t>
            </w:r>
            <w:r>
              <w:rPr>
                <w:rFonts w:asciiTheme="minorEastAsia" w:hAnsiTheme="minorEastAsia"/>
                <w:sz w:val="20"/>
                <w:szCs w:val="20"/>
              </w:rPr>
              <w:t>经验</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基地相关经验做法是否通过</w:t>
            </w:r>
            <w:r>
              <w:rPr>
                <w:rFonts w:asciiTheme="minorEastAsia" w:hAnsiTheme="minorEastAsia"/>
                <w:sz w:val="20"/>
                <w:szCs w:val="20"/>
              </w:rPr>
              <w:t>以下方式</w:t>
            </w:r>
            <w:r>
              <w:rPr>
                <w:rFonts w:hint="eastAsia" w:asciiTheme="minorEastAsia" w:hAnsiTheme="minorEastAsia"/>
                <w:sz w:val="20"/>
                <w:szCs w:val="20"/>
              </w:rPr>
              <w:t>获得商务部肯定：在全国性会议进行交流；入选商务部编发国家电子商务示范基地案例集；被商务部相关刊物转载；</w:t>
            </w:r>
            <w:r>
              <w:rPr>
                <w:rFonts w:asciiTheme="minorEastAsia" w:hAnsiTheme="minorEastAsia"/>
                <w:sz w:val="20"/>
                <w:szCs w:val="20"/>
              </w:rPr>
              <w:t>通过</w:t>
            </w:r>
            <w:r>
              <w:rPr>
                <w:rFonts w:hint="eastAsia" w:asciiTheme="minorEastAsia" w:hAnsiTheme="minorEastAsia"/>
                <w:sz w:val="20"/>
                <w:szCs w:val="20"/>
              </w:rPr>
              <w:t>国际商报或商务微新闻进行报道。</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相关内容复印件。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绿色发展</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制度规划</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截至报告期末，是否制定基地绿色发展规划或促进基地内企业绿色发展的激励措施。</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制度文件、规划方案、行动计划等。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宣传推广</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截至报告期末，是否在基地内开展了绿色环保政策法规方面的宣传推广活动，是否组织了相关培训。</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新闻报道、具体做法、活动记录、宣传设施照片等。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资金</w:t>
            </w:r>
            <w:r>
              <w:rPr>
                <w:rFonts w:asciiTheme="minorEastAsia" w:hAnsiTheme="minorEastAsia"/>
                <w:sz w:val="20"/>
                <w:szCs w:val="20"/>
              </w:rPr>
              <w:t>支持</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截至报告期末，基地是否安排支持企业绿色发展资金，是否组织或引导企业开展数字化运营。</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绿色仓配</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截至报告期末，基地是否建设绿色仓配设施，是否开展企业资源共享，是否配备新能源、清洁能源车辆。</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配套措施</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截至报告期末，基地是否建设节水、节电、节气系统，是否配备垃圾分类配套设施及其他节能增效举措。</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安全</w:t>
            </w:r>
            <w:r>
              <w:rPr>
                <w:rFonts w:ascii="楷体" w:hAnsi="楷体" w:eastAsia="楷体"/>
                <w:sz w:val="24"/>
                <w:szCs w:val="24"/>
              </w:rPr>
              <w:t>生产</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安全</w:t>
            </w:r>
            <w:r>
              <w:rPr>
                <w:rFonts w:asciiTheme="minorEastAsia" w:hAnsiTheme="minorEastAsia"/>
                <w:sz w:val="20"/>
                <w:szCs w:val="20"/>
              </w:rPr>
              <w:t>审查</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截至报告期末，基地是否严格入驻基地项目安全条件审查和准入把关，将不符合安全生产要求的企业淘汰退出基地。</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管理制度</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截至报告期末，是否制定基地安全生产管理制度；基地主要负责人作为法定的安全生产第一责任人，是否负责安全生产工作。</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应急预案</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截至报告期末，基地是否制定火灾等突发事件应急处置预案；是否定期组织开展消防等突发事件演练。</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排查</w:t>
            </w:r>
            <w:r>
              <w:rPr>
                <w:rFonts w:asciiTheme="minorEastAsia" w:hAnsiTheme="minorEastAsia"/>
                <w:sz w:val="20"/>
                <w:szCs w:val="20"/>
              </w:rPr>
              <w:t>隐患</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截至报告期末，是否定期对基地和基地内企业的水、电、油、气及仓储物流等设备设施等进行维护、检查，及时排查整改安全隐患。</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落实</w:t>
            </w:r>
            <w:r>
              <w:rPr>
                <w:rFonts w:asciiTheme="minorEastAsia" w:hAnsiTheme="minorEastAsia"/>
                <w:sz w:val="20"/>
                <w:szCs w:val="20"/>
              </w:rPr>
              <w:t>责任</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截至报告期末，是否督促基地内企业全面落实安全生产责任。</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主要督促手段和激励措施。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配套</w:t>
            </w:r>
            <w:r>
              <w:rPr>
                <w:rFonts w:asciiTheme="minorEastAsia" w:hAnsiTheme="minorEastAsia"/>
                <w:sz w:val="20"/>
                <w:szCs w:val="20"/>
              </w:rPr>
              <w:t>设施</w:t>
            </w:r>
          </w:p>
        </w:tc>
        <w:tc>
          <w:tcPr>
            <w:tcW w:w="851" w:type="dxa"/>
            <w:vAlign w:val="center"/>
          </w:tcPr>
          <w:p>
            <w:pPr>
              <w:spacing w:after="0" w:line="260" w:lineRule="exact"/>
              <w:contextualSpacing/>
              <w:jc w:val="center"/>
              <w:rPr>
                <w:rFonts w:asciiTheme="minorEastAsia" w:hAnsiTheme="minorEastAsia"/>
                <w:bCs/>
                <w:sz w:val="20"/>
                <w:szCs w:val="20"/>
              </w:rPr>
            </w:pPr>
            <w:r>
              <w:rPr>
                <w:rFonts w:hint="eastAsia" w:asciiTheme="minorEastAsia" w:hAnsiTheme="minorEastAsia"/>
                <w:bCs/>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截至报告期末，基地是否定期完善有利于安全生产的公用工程配套和安全保障设施。</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w:t>
            </w:r>
            <w:r>
              <w:rPr>
                <w:rFonts w:hint="eastAsia" w:asciiTheme="minorEastAsia" w:hAnsiTheme="minorEastAsia"/>
                <w:sz w:val="20"/>
                <w:szCs w:val="20"/>
                <w:lang w:eastAsia="zh-CN"/>
              </w:rPr>
              <w:t>、</w:t>
            </w:r>
            <w:r>
              <w:rPr>
                <w:rFonts w:hint="eastAsia" w:asciiTheme="minorEastAsia" w:hAnsiTheme="minorEastAsia"/>
                <w:sz w:val="20"/>
                <w:szCs w:val="20"/>
              </w:rPr>
              <w:t>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资金投入</w:t>
            </w:r>
          </w:p>
        </w:tc>
        <w:tc>
          <w:tcPr>
            <w:tcW w:w="851" w:type="dxa"/>
            <w:vAlign w:val="center"/>
          </w:tcPr>
          <w:p>
            <w:pPr>
              <w:spacing w:after="0" w:line="260" w:lineRule="exact"/>
              <w:contextualSpacing/>
              <w:jc w:val="center"/>
              <w:rPr>
                <w:rFonts w:asciiTheme="minorEastAsia" w:hAnsiTheme="minorEastAsia"/>
                <w:bCs/>
                <w:sz w:val="20"/>
                <w:szCs w:val="20"/>
              </w:rPr>
            </w:pPr>
            <w:r>
              <w:rPr>
                <w:rFonts w:hint="eastAsia" w:asciiTheme="minorEastAsia" w:hAnsiTheme="minorEastAsia"/>
                <w:bCs/>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截至报告期末，基地投入安全生产建设资金金额</w:t>
            </w:r>
            <w:r>
              <w:rPr>
                <w:rFonts w:asciiTheme="minorEastAsia" w:hAnsiTheme="minorEastAsia"/>
                <w:sz w:val="20"/>
                <w:szCs w:val="20"/>
              </w:rPr>
              <w:t>。</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2022年基地投入安全生产建设资金支出明细及相关</w:t>
            </w:r>
            <w:r>
              <w:rPr>
                <w:rFonts w:asciiTheme="minorEastAsia" w:hAnsiTheme="minorEastAsia"/>
                <w:sz w:val="20"/>
                <w:szCs w:val="20"/>
              </w:rPr>
              <w:t>用途</w:t>
            </w:r>
            <w:r>
              <w:rPr>
                <w:rFonts w:hint="eastAsia" w:asciiTheme="minorEastAsia" w:hAnsi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安全事故</w:t>
            </w:r>
          </w:p>
        </w:tc>
        <w:tc>
          <w:tcPr>
            <w:tcW w:w="851" w:type="dxa"/>
            <w:vAlign w:val="center"/>
          </w:tcPr>
          <w:p>
            <w:pPr>
              <w:spacing w:after="0" w:line="260" w:lineRule="exact"/>
              <w:contextualSpacing/>
              <w:jc w:val="center"/>
              <w:rPr>
                <w:rFonts w:asciiTheme="minorEastAsia" w:hAnsiTheme="minorEastAsia"/>
                <w:bCs/>
                <w:sz w:val="20"/>
                <w:szCs w:val="20"/>
              </w:rPr>
            </w:pPr>
            <w:r>
              <w:rPr>
                <w:rFonts w:hint="eastAsia" w:asciiTheme="minorEastAsia" w:hAnsiTheme="minorEastAsia"/>
                <w:bCs/>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截至报告期末，基地是否发生较大或重特大生产安全事故。</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若</w:t>
            </w:r>
            <w:r>
              <w:rPr>
                <w:rFonts w:asciiTheme="minorEastAsia" w:hAnsiTheme="minorEastAsia"/>
                <w:sz w:val="20"/>
                <w:szCs w:val="20"/>
              </w:rPr>
              <w:t>发生</w:t>
            </w:r>
            <w:r>
              <w:rPr>
                <w:rFonts w:hint="eastAsia" w:asciiTheme="minorEastAsia" w:hAnsiTheme="minorEastAsia"/>
                <w:sz w:val="20"/>
                <w:szCs w:val="20"/>
              </w:rPr>
              <w:t>生产安全事故，需提供</w:t>
            </w:r>
            <w:r>
              <w:rPr>
                <w:rFonts w:asciiTheme="minorEastAsia" w:hAnsiTheme="minorEastAsia"/>
                <w:sz w:val="20"/>
                <w:szCs w:val="20"/>
              </w:rPr>
              <w:t>事故</w:t>
            </w:r>
            <w:r>
              <w:rPr>
                <w:rFonts w:hint="eastAsia" w:asciiTheme="minorEastAsia" w:hAnsiTheme="minorEastAsia"/>
                <w:sz w:val="20"/>
                <w:szCs w:val="20"/>
              </w:rPr>
              <w:t>情况</w:t>
            </w:r>
            <w:r>
              <w:rPr>
                <w:rFonts w:asciiTheme="minorEastAsia" w:hAnsiTheme="minorEastAsia"/>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restart"/>
            <w:vAlign w:val="center"/>
          </w:tcPr>
          <w:p>
            <w:pPr>
              <w:spacing w:after="0" w:line="260" w:lineRule="exact"/>
              <w:contextualSpacing/>
              <w:jc w:val="center"/>
              <w:rPr>
                <w:bCs/>
              </w:rPr>
            </w:pPr>
            <w:r>
              <w:rPr>
                <w:rFonts w:hint="eastAsia" w:ascii="黑体" w:hAnsi="黑体" w:eastAsia="黑体" w:cs="黑体"/>
                <w:bCs/>
                <w:sz w:val="24"/>
                <w:szCs w:val="24"/>
              </w:rPr>
              <w:t>示范能力</w:t>
            </w:r>
          </w:p>
        </w:tc>
        <w:tc>
          <w:tcPr>
            <w:tcW w:w="709" w:type="dxa"/>
            <w:vMerge w:val="restart"/>
            <w:vAlign w:val="center"/>
          </w:tcPr>
          <w:p>
            <w:pPr>
              <w:spacing w:after="0" w:line="260" w:lineRule="exact"/>
              <w:contextualSpacing/>
              <w:jc w:val="center"/>
              <w:rPr>
                <w:rFonts w:ascii="楷体" w:hAnsi="楷体" w:eastAsia="楷体"/>
                <w:bCs/>
                <w:sz w:val="24"/>
                <w:szCs w:val="24"/>
              </w:rPr>
            </w:pPr>
            <w:r>
              <w:rPr>
                <w:rFonts w:hint="eastAsia" w:ascii="楷体" w:hAnsi="楷体" w:eastAsia="楷体"/>
                <w:bCs/>
                <w:sz w:val="24"/>
                <w:szCs w:val="24"/>
              </w:rPr>
              <w:t>发展规模与速度</w:t>
            </w:r>
          </w:p>
        </w:tc>
        <w:tc>
          <w:tcPr>
            <w:tcW w:w="1979" w:type="dxa"/>
            <w:vAlign w:val="center"/>
          </w:tcPr>
          <w:p>
            <w:pPr>
              <w:spacing w:after="0" w:line="260" w:lineRule="exact"/>
              <w:contextualSpacing/>
              <w:jc w:val="center"/>
              <w:rPr>
                <w:rFonts w:asciiTheme="minorEastAsia" w:hAnsiTheme="minorEastAsia"/>
                <w:bCs/>
                <w:sz w:val="20"/>
                <w:szCs w:val="20"/>
              </w:rPr>
            </w:pPr>
            <w:r>
              <w:rPr>
                <w:rFonts w:hint="eastAsia" w:asciiTheme="minorEastAsia" w:hAnsiTheme="minorEastAsia"/>
                <w:bCs/>
                <w:sz w:val="20"/>
                <w:szCs w:val="20"/>
              </w:rPr>
              <w:t>电子商务交易额</w:t>
            </w:r>
          </w:p>
        </w:tc>
        <w:tc>
          <w:tcPr>
            <w:tcW w:w="851" w:type="dxa"/>
            <w:vAlign w:val="center"/>
          </w:tcPr>
          <w:p>
            <w:pPr>
              <w:spacing w:after="0" w:line="260" w:lineRule="exact"/>
              <w:contextualSpacing/>
              <w:jc w:val="center"/>
              <w:rPr>
                <w:rFonts w:asciiTheme="minorEastAsia" w:hAnsiTheme="minorEastAsia"/>
                <w:bCs/>
                <w:sz w:val="20"/>
                <w:szCs w:val="20"/>
              </w:rPr>
            </w:pPr>
            <w:r>
              <w:rPr>
                <w:rFonts w:hint="eastAsia" w:asciiTheme="minorEastAsia" w:hAnsiTheme="minorEastAsia"/>
                <w:bCs/>
                <w:sz w:val="20"/>
                <w:szCs w:val="20"/>
              </w:rPr>
              <w:t>万元</w:t>
            </w:r>
          </w:p>
        </w:tc>
        <w:tc>
          <w:tcPr>
            <w:tcW w:w="5528" w:type="dxa"/>
            <w:vAlign w:val="center"/>
          </w:tcPr>
          <w:p>
            <w:pPr>
              <w:spacing w:after="0" w:line="260" w:lineRule="exact"/>
              <w:contextualSpacing/>
              <w:rPr>
                <w:rFonts w:asciiTheme="minorEastAsia" w:hAnsiTheme="minorEastAsia"/>
                <w:bCs/>
                <w:sz w:val="20"/>
                <w:szCs w:val="20"/>
              </w:rPr>
            </w:pPr>
            <w:r>
              <w:rPr>
                <w:rFonts w:asciiTheme="minorEastAsia" w:hAnsiTheme="minorEastAsia"/>
                <w:bCs/>
                <w:sz w:val="20"/>
                <w:szCs w:val="20"/>
              </w:rPr>
              <w:t>1.在报告期内，基地全体电子商务企业产生的电子商务交易总额，包括企业间B2B电子商务交易额、网络零售额、跨境电子商务交易额、农产品交易额等。电子商务交易额统计口径如下：基地企业通过网络实现的交易，无论采用何种支付手段，无论买卖双方为企业或消费者，均将其视为电子商务，其成交额即为电子商务交易额。</w:t>
            </w:r>
          </w:p>
          <w:p>
            <w:pPr>
              <w:spacing w:after="0" w:line="260" w:lineRule="exact"/>
              <w:contextualSpacing/>
              <w:rPr>
                <w:rFonts w:asciiTheme="minorEastAsia" w:hAnsiTheme="minorEastAsia"/>
                <w:bCs/>
                <w:sz w:val="20"/>
                <w:szCs w:val="20"/>
              </w:rPr>
            </w:pPr>
            <w:r>
              <w:rPr>
                <w:rFonts w:asciiTheme="minorEastAsia" w:hAnsiTheme="minorEastAsia"/>
                <w:bCs/>
                <w:sz w:val="20"/>
                <w:szCs w:val="20"/>
              </w:rPr>
              <w:t>2.单位：万元，不要自行改变单位，如亿元。</w:t>
            </w:r>
          </w:p>
          <w:p>
            <w:pPr>
              <w:spacing w:after="0" w:line="260" w:lineRule="exact"/>
              <w:contextualSpacing/>
              <w:rPr>
                <w:rFonts w:asciiTheme="minorEastAsia" w:hAnsiTheme="minorEastAsia"/>
                <w:bCs/>
                <w:sz w:val="20"/>
                <w:szCs w:val="20"/>
              </w:rPr>
            </w:pPr>
            <w:r>
              <w:rPr>
                <w:rFonts w:asciiTheme="minorEastAsia" w:hAnsiTheme="minorEastAsia"/>
                <w:bCs/>
                <w:sz w:val="20"/>
                <w:szCs w:val="20"/>
              </w:rPr>
              <w:t>3.此数字应与自评报告相一致，下同。</w:t>
            </w:r>
          </w:p>
        </w:tc>
        <w:tc>
          <w:tcPr>
            <w:tcW w:w="3544" w:type="dxa"/>
            <w:vAlign w:val="center"/>
          </w:tcPr>
          <w:p>
            <w:pPr>
              <w:spacing w:after="0" w:line="260" w:lineRule="exact"/>
              <w:contextualSpacing/>
              <w:rPr>
                <w:rFonts w:asciiTheme="minorEastAsia" w:hAnsiTheme="minorEastAsia"/>
                <w:bCs/>
                <w:sz w:val="20"/>
                <w:szCs w:val="20"/>
              </w:rPr>
            </w:pPr>
            <w:r>
              <w:rPr>
                <w:rFonts w:asciiTheme="minorEastAsia" w:hAnsiTheme="minorEastAsia"/>
                <w:bCs/>
                <w:sz w:val="20"/>
                <w:szCs w:val="20"/>
              </w:rPr>
              <w:t>2022</w:t>
            </w:r>
            <w:r>
              <w:rPr>
                <w:rFonts w:hint="eastAsia" w:asciiTheme="minorEastAsia" w:hAnsiTheme="minorEastAsia"/>
                <w:bCs/>
                <w:sz w:val="20"/>
                <w:szCs w:val="20"/>
              </w:rPr>
              <w:t>年电子商务交易额构成明细，按企业统计。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电子商务交易额</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增长率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计算公式为（报告期内基地电子商务交易额</w:t>
            </w:r>
            <w:r>
              <w:rPr>
                <w:rFonts w:asciiTheme="minorEastAsia" w:hAnsiTheme="minorEastAsia"/>
                <w:sz w:val="20"/>
                <w:szCs w:val="20"/>
              </w:rPr>
              <w:t>/上一年基地电子商务交易额-1）×100%。</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2021</w:t>
            </w:r>
            <w:r>
              <w:rPr>
                <w:rFonts w:hint="eastAsia" w:asciiTheme="minorEastAsia" w:hAnsiTheme="minorEastAsia"/>
                <w:sz w:val="20"/>
                <w:szCs w:val="20"/>
              </w:rPr>
              <w:t>年电子商务交易额构成明细，按企业统计。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营收总额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1.报告期内基地全体电子商务企业营业总收入。</w:t>
            </w:r>
          </w:p>
          <w:p>
            <w:pPr>
              <w:spacing w:after="0" w:line="260" w:lineRule="exact"/>
              <w:contextualSpacing/>
              <w:rPr>
                <w:rFonts w:asciiTheme="minorEastAsia" w:hAnsiTheme="minorEastAsia"/>
                <w:sz w:val="20"/>
                <w:szCs w:val="20"/>
              </w:rPr>
            </w:pPr>
            <w:r>
              <w:rPr>
                <w:rFonts w:asciiTheme="minorEastAsia" w:hAnsiTheme="minorEastAsia"/>
                <w:sz w:val="20"/>
                <w:szCs w:val="20"/>
              </w:rPr>
              <w:t>2.该营收应来源于基地电子商务企业进行的电子商务交易或提供的服务，而不应源于传统交易方式或其他非电商业务收入。</w:t>
            </w:r>
          </w:p>
          <w:p>
            <w:pPr>
              <w:spacing w:after="0" w:line="260" w:lineRule="exact"/>
              <w:contextualSpacing/>
              <w:rPr>
                <w:rFonts w:asciiTheme="minorEastAsia" w:hAnsiTheme="minorEastAsia"/>
                <w:sz w:val="20"/>
                <w:szCs w:val="20"/>
              </w:rPr>
            </w:pPr>
            <w:r>
              <w:rPr>
                <w:rFonts w:asciiTheme="minorEastAsia" w:hAnsiTheme="minorEastAsia"/>
                <w:sz w:val="20"/>
                <w:szCs w:val="20"/>
              </w:rPr>
              <w:t>3.不等同于电子商务交易额。如果出现此种情况，视为基地电商企业类型全部为自营网店或平台，且没有其他类型的电商企业。</w:t>
            </w:r>
          </w:p>
          <w:p>
            <w:pPr>
              <w:spacing w:after="0" w:line="260" w:lineRule="exact"/>
              <w:contextualSpacing/>
              <w:rPr>
                <w:rFonts w:asciiTheme="minorEastAsia" w:hAnsiTheme="minorEastAsia"/>
                <w:sz w:val="20"/>
                <w:szCs w:val="20"/>
              </w:rPr>
            </w:pPr>
            <w:r>
              <w:rPr>
                <w:rFonts w:asciiTheme="minorEastAsia" w:hAnsiTheme="minorEastAsia"/>
                <w:sz w:val="20"/>
                <w:szCs w:val="20"/>
              </w:rPr>
              <w:t>4.营收额如果远高于交易额，视为电商服务企业占比大，需提供相应的证明。</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w:t>
            </w:r>
            <w:r>
              <w:rPr>
                <w:rFonts w:hint="eastAsia" w:asciiTheme="minorEastAsia" w:hAnsiTheme="minorEastAsia"/>
                <w:sz w:val="20"/>
                <w:szCs w:val="20"/>
              </w:rPr>
              <w:t>年电子商务营收额构成明细，按企业统计。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营收增长率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计算公式为（报告期内基地电子商务企业营收总额</w:t>
            </w:r>
            <w:r>
              <w:rPr>
                <w:rFonts w:asciiTheme="minorEastAsia" w:hAnsiTheme="minorEastAsia"/>
                <w:sz w:val="20"/>
                <w:szCs w:val="20"/>
              </w:rPr>
              <w:t>/上一年基地电子商务企业营收总额-1）×100%。</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2021</w:t>
            </w:r>
            <w:r>
              <w:rPr>
                <w:rFonts w:hint="eastAsia" w:asciiTheme="minorEastAsia" w:hAnsiTheme="minorEastAsia"/>
                <w:sz w:val="20"/>
                <w:szCs w:val="20"/>
              </w:rPr>
              <w:t>年电子商务营收额构成明细，按企业统计。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缴税总额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报告期内基地全体电子商务企业缴税总额。电子商务企业缴税额指企业全年的应缴纳税总额，主要包括企业营业税、增值税、个人所得税、企业所得税、附加税等。</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w:t>
            </w:r>
            <w:r>
              <w:rPr>
                <w:rFonts w:hint="eastAsia" w:asciiTheme="minorEastAsia" w:hAnsiTheme="minorEastAsia"/>
                <w:sz w:val="20"/>
                <w:szCs w:val="20"/>
              </w:rPr>
              <w:t>年电子商务企业缴税额构成明细，按企业统计。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缴税增长率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计算公式为（报告期内基地电子商务企业缴税总额</w:t>
            </w:r>
            <w:r>
              <w:rPr>
                <w:rFonts w:asciiTheme="minorEastAsia" w:hAnsiTheme="minorEastAsia"/>
                <w:sz w:val="20"/>
                <w:szCs w:val="20"/>
              </w:rPr>
              <w:t>/上一年基地电子商务企业缴税总额-1）×100%。</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2021</w:t>
            </w:r>
            <w:r>
              <w:rPr>
                <w:rFonts w:hint="eastAsia" w:asciiTheme="minorEastAsia" w:hAnsiTheme="minorEastAsia"/>
                <w:sz w:val="20"/>
                <w:szCs w:val="20"/>
              </w:rPr>
              <w:t>年电子商务企业缴税额构成明细，按企业统计。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跨境电子商务</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交易额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1.基地内企业通过电子商务平台实现的、面向境外的产品（或服务）交易总金额。</w:t>
            </w:r>
          </w:p>
          <w:p>
            <w:pPr>
              <w:spacing w:after="0" w:line="260" w:lineRule="exact"/>
              <w:contextualSpacing/>
              <w:rPr>
                <w:rFonts w:asciiTheme="minorEastAsia" w:hAnsiTheme="minorEastAsia"/>
                <w:sz w:val="20"/>
                <w:szCs w:val="20"/>
              </w:rPr>
            </w:pPr>
            <w:r>
              <w:rPr>
                <w:rFonts w:asciiTheme="minorEastAsia" w:hAnsiTheme="minorEastAsia"/>
                <w:sz w:val="20"/>
                <w:szCs w:val="20"/>
              </w:rPr>
              <w:t>2.包括进口电商交易额和出口电商交易额。</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w:t>
            </w:r>
            <w:r>
              <w:rPr>
                <w:rFonts w:hint="eastAsia" w:asciiTheme="minorEastAsia" w:hAnsiTheme="minorEastAsia"/>
                <w:sz w:val="20"/>
                <w:szCs w:val="20"/>
              </w:rPr>
              <w:t>年电子商务企业跨境电子商务交易额构成明细，按企业统计。为便于操作，可将电子商务交易额、营收额、纳税额、跨境电子商务交易额四个明细表合并共用一张报表。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跨境电子商务交易额增长率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计算公式为（报告期内基地跨境电子商务交易额</w:t>
            </w:r>
            <w:r>
              <w:rPr>
                <w:rFonts w:asciiTheme="minorEastAsia" w:hAnsiTheme="minorEastAsia"/>
                <w:sz w:val="20"/>
                <w:szCs w:val="20"/>
              </w:rPr>
              <w:t>/上一年基地跨境电子商务交易额-1）×100%。</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2021</w:t>
            </w:r>
            <w:r>
              <w:rPr>
                <w:rFonts w:hint="eastAsia" w:asciiTheme="minorEastAsia" w:hAnsiTheme="minorEastAsia"/>
                <w:sz w:val="20"/>
                <w:szCs w:val="20"/>
              </w:rPr>
              <w:t>年跨境电子商务交易额构成明细，按企业统计。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示范带动</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研发成果数量</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个</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1.基地电子商务企业获得的专利授权数量和软件著作权登记数量之和。</w:t>
            </w:r>
          </w:p>
          <w:p>
            <w:pPr>
              <w:spacing w:after="0" w:line="260" w:lineRule="exact"/>
              <w:contextualSpacing/>
              <w:rPr>
                <w:rFonts w:asciiTheme="minorEastAsia" w:hAnsiTheme="minorEastAsia"/>
                <w:sz w:val="20"/>
                <w:szCs w:val="20"/>
              </w:rPr>
            </w:pPr>
            <w:r>
              <w:rPr>
                <w:rFonts w:asciiTheme="minorEastAsia" w:hAnsiTheme="minorEastAsia"/>
                <w:sz w:val="20"/>
                <w:szCs w:val="20"/>
              </w:rPr>
              <w:t>2.电子商务企业研发成果应与电子商务业务直接相关，与电子商务业务无关的研发成果不应计入在内。</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专利证书号、名称、类型、权利人、取得时间等。</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软件著作权名称、登记号、属地、权利人、取得时间等。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创建商标品牌数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个</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1.基地内电子商务企业注册的商标、产品品牌或服务品牌数量。</w:t>
            </w:r>
          </w:p>
          <w:p>
            <w:pPr>
              <w:spacing w:after="0" w:line="260" w:lineRule="exact"/>
              <w:contextualSpacing/>
              <w:rPr>
                <w:rFonts w:asciiTheme="minorEastAsia" w:hAnsiTheme="minorEastAsia"/>
                <w:sz w:val="20"/>
                <w:szCs w:val="20"/>
              </w:rPr>
            </w:pPr>
            <w:r>
              <w:rPr>
                <w:rFonts w:asciiTheme="minorEastAsia" w:hAnsiTheme="minorEastAsia"/>
                <w:sz w:val="20"/>
                <w:szCs w:val="20"/>
              </w:rPr>
              <w:t>2.该商标品牌的创建应直接来源于企业电子商务交易或服务经营活动，不应源于传统线下业务。</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商标图形、商标名称、注册号、登记日期、有效期限等。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“双品网购节”</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w:t>
            </w:r>
            <w:r>
              <w:rPr>
                <w:rFonts w:asciiTheme="minorEastAsia" w:hAnsiTheme="minorEastAsia"/>
                <w:sz w:val="20"/>
                <w:szCs w:val="20"/>
              </w:rPr>
              <w:t>交易额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w:t>
            </w:r>
            <w:r>
              <w:rPr>
                <w:rFonts w:asciiTheme="minorEastAsia" w:hAnsiTheme="minorEastAsia"/>
                <w:sz w:val="20"/>
                <w:szCs w:val="20"/>
              </w:rPr>
              <w:t>内</w:t>
            </w:r>
            <w:r>
              <w:rPr>
                <w:rFonts w:hint="eastAsia" w:asciiTheme="minorEastAsia" w:hAnsiTheme="minorEastAsia"/>
                <w:sz w:val="20"/>
                <w:szCs w:val="20"/>
              </w:rPr>
              <w:t>电商企业参加报告年度“双品网购节”期间达成</w:t>
            </w:r>
            <w:r>
              <w:rPr>
                <w:rFonts w:asciiTheme="minorEastAsia" w:hAnsiTheme="minorEastAsia"/>
                <w:sz w:val="20"/>
                <w:szCs w:val="20"/>
              </w:rPr>
              <w:t>的电商</w:t>
            </w:r>
            <w:r>
              <w:rPr>
                <w:rFonts w:hint="eastAsia" w:asciiTheme="minorEastAsia" w:hAnsiTheme="minorEastAsia"/>
                <w:sz w:val="20"/>
                <w:szCs w:val="20"/>
              </w:rPr>
              <w:t>交易额。</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提供基地组织企业</w:t>
            </w:r>
            <w:r>
              <w:rPr>
                <w:rFonts w:asciiTheme="minorEastAsia" w:hAnsiTheme="minorEastAsia"/>
                <w:sz w:val="20"/>
                <w:szCs w:val="20"/>
              </w:rPr>
              <w:t>参与</w:t>
            </w:r>
            <w:r>
              <w:rPr>
                <w:rFonts w:hint="eastAsia" w:asciiTheme="minorEastAsia" w:hAnsiTheme="minorEastAsia"/>
                <w:sz w:val="20"/>
                <w:szCs w:val="20"/>
              </w:rPr>
              <w:t>“双品网购节”的相关文件、通知要求，参加企业名单、交易</w:t>
            </w:r>
            <w:r>
              <w:rPr>
                <w:rFonts w:asciiTheme="minorEastAsia" w:hAnsiTheme="minorEastAsia"/>
                <w:sz w:val="20"/>
                <w:szCs w:val="20"/>
              </w:rPr>
              <w:t>额构成明细</w:t>
            </w:r>
            <w:r>
              <w:rPr>
                <w:rFonts w:hint="eastAsia" w:asciiTheme="minorEastAsia" w:hAnsiTheme="minorEastAsia"/>
                <w:sz w:val="20"/>
                <w:szCs w:val="20"/>
              </w:rPr>
              <w:t>及相关报道等。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“全国网上年货节”</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w:t>
            </w:r>
            <w:r>
              <w:rPr>
                <w:rFonts w:asciiTheme="minorEastAsia" w:hAnsiTheme="minorEastAsia"/>
                <w:sz w:val="20"/>
                <w:szCs w:val="20"/>
              </w:rPr>
              <w:t>交易额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w:t>
            </w:r>
            <w:r>
              <w:rPr>
                <w:rFonts w:asciiTheme="minorEastAsia" w:hAnsiTheme="minorEastAsia"/>
                <w:sz w:val="20"/>
                <w:szCs w:val="20"/>
              </w:rPr>
              <w:t>内</w:t>
            </w:r>
            <w:r>
              <w:rPr>
                <w:rFonts w:hint="eastAsia" w:asciiTheme="minorEastAsia" w:hAnsiTheme="minorEastAsia"/>
                <w:sz w:val="20"/>
                <w:szCs w:val="20"/>
              </w:rPr>
              <w:t>电商企业参加报告年度“全国网上年货节”期间达成</w:t>
            </w:r>
            <w:r>
              <w:rPr>
                <w:rFonts w:asciiTheme="minorEastAsia" w:hAnsiTheme="minorEastAsia"/>
                <w:sz w:val="20"/>
                <w:szCs w:val="20"/>
              </w:rPr>
              <w:t>的电商</w:t>
            </w:r>
            <w:r>
              <w:rPr>
                <w:rFonts w:hint="eastAsia" w:asciiTheme="minorEastAsia" w:hAnsiTheme="minorEastAsia"/>
                <w:sz w:val="20"/>
                <w:szCs w:val="20"/>
              </w:rPr>
              <w:t>交易额。</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提供基地组织企业</w:t>
            </w:r>
            <w:r>
              <w:rPr>
                <w:rFonts w:asciiTheme="minorEastAsia" w:hAnsiTheme="minorEastAsia"/>
                <w:sz w:val="20"/>
                <w:szCs w:val="20"/>
              </w:rPr>
              <w:t>参与</w:t>
            </w:r>
            <w:r>
              <w:rPr>
                <w:rFonts w:hint="eastAsia" w:asciiTheme="minorEastAsia" w:hAnsiTheme="minorEastAsia"/>
                <w:sz w:val="20"/>
                <w:szCs w:val="20"/>
              </w:rPr>
              <w:t>“全国网上年货节”的相关文件、通知要求，参加企业名单、交易</w:t>
            </w:r>
            <w:r>
              <w:rPr>
                <w:rFonts w:asciiTheme="minorEastAsia" w:hAnsiTheme="minorEastAsia"/>
                <w:sz w:val="20"/>
                <w:szCs w:val="20"/>
              </w:rPr>
              <w:t>额构成明细</w:t>
            </w:r>
            <w:r>
              <w:rPr>
                <w:rFonts w:hint="eastAsia" w:asciiTheme="minorEastAsia" w:hAnsiTheme="minorEastAsia"/>
                <w:sz w:val="20"/>
                <w:szCs w:val="20"/>
              </w:rPr>
              <w:t>及相关报道等。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进博会成交额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w:t>
            </w:r>
            <w:r>
              <w:rPr>
                <w:rFonts w:asciiTheme="minorEastAsia" w:hAnsiTheme="minorEastAsia"/>
                <w:sz w:val="20"/>
                <w:szCs w:val="20"/>
              </w:rPr>
              <w:t>内</w:t>
            </w:r>
            <w:r>
              <w:rPr>
                <w:rFonts w:hint="eastAsia" w:asciiTheme="minorEastAsia" w:hAnsiTheme="minorEastAsia"/>
                <w:sz w:val="20"/>
                <w:szCs w:val="20"/>
              </w:rPr>
              <w:t>企业参加报告年度中国国际进口博览会期间达成</w:t>
            </w:r>
            <w:r>
              <w:rPr>
                <w:rFonts w:asciiTheme="minorEastAsia" w:hAnsiTheme="minorEastAsia"/>
                <w:sz w:val="20"/>
                <w:szCs w:val="20"/>
              </w:rPr>
              <w:t>的</w:t>
            </w:r>
            <w:r>
              <w:rPr>
                <w:rFonts w:hint="eastAsia" w:asciiTheme="minorEastAsia" w:hAnsiTheme="minorEastAsia"/>
                <w:sz w:val="20"/>
                <w:szCs w:val="20"/>
              </w:rPr>
              <w:t>交易额。</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提供基地组织企业</w:t>
            </w:r>
            <w:r>
              <w:rPr>
                <w:rFonts w:asciiTheme="minorEastAsia" w:hAnsiTheme="minorEastAsia"/>
                <w:sz w:val="20"/>
                <w:szCs w:val="20"/>
              </w:rPr>
              <w:t>参与</w:t>
            </w:r>
            <w:r>
              <w:rPr>
                <w:rFonts w:hint="eastAsia" w:asciiTheme="minorEastAsia" w:hAnsiTheme="minorEastAsia"/>
                <w:sz w:val="20"/>
                <w:szCs w:val="20"/>
              </w:rPr>
              <w:t>进博会的相关文件、通知要求，参加企业名单、成交额</w:t>
            </w:r>
            <w:r>
              <w:rPr>
                <w:rFonts w:asciiTheme="minorEastAsia" w:hAnsiTheme="minorEastAsia"/>
                <w:sz w:val="20"/>
                <w:szCs w:val="20"/>
              </w:rPr>
              <w:t>构成明细</w:t>
            </w:r>
            <w:r>
              <w:rPr>
                <w:rFonts w:hint="eastAsia" w:asciiTheme="minorEastAsia" w:hAnsiTheme="minorEastAsia"/>
                <w:sz w:val="20"/>
                <w:szCs w:val="20"/>
              </w:rPr>
              <w:t>及相关报道等。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hint="eastAsia" w:asciiTheme="minorEastAsia" w:hAnsiTheme="minorEastAsia"/>
                <w:sz w:val="20"/>
                <w:szCs w:val="20"/>
                <w:lang w:eastAsia="zh-CN"/>
              </w:rPr>
            </w:pPr>
            <w:r>
              <w:rPr>
                <w:rFonts w:hint="eastAsia" w:asciiTheme="minorEastAsia" w:hAnsiTheme="minorEastAsia"/>
                <w:sz w:val="20"/>
                <w:szCs w:val="20"/>
                <w:lang w:eastAsia="zh-CN"/>
              </w:rPr>
              <w:t>促进传统产业</w:t>
            </w:r>
          </w:p>
          <w:p>
            <w:pPr>
              <w:spacing w:after="0" w:line="260" w:lineRule="exact"/>
              <w:contextualSpacing/>
              <w:jc w:val="center"/>
              <w:rPr>
                <w:rFonts w:hint="eastAsia" w:asciiTheme="minorEastAsia" w:hAnsiTheme="minorEastAsia"/>
                <w:sz w:val="20"/>
                <w:szCs w:val="20"/>
                <w:lang w:eastAsia="zh-CN"/>
              </w:rPr>
            </w:pPr>
            <w:r>
              <w:rPr>
                <w:rFonts w:hint="eastAsia" w:asciiTheme="minorEastAsia" w:hAnsiTheme="minorEastAsia"/>
                <w:sz w:val="20"/>
                <w:szCs w:val="20"/>
                <w:lang w:eastAsia="zh-CN"/>
              </w:rPr>
              <w:t>数字化转型</w:t>
            </w:r>
          </w:p>
        </w:tc>
        <w:tc>
          <w:tcPr>
            <w:tcW w:w="851" w:type="dxa"/>
            <w:vAlign w:val="center"/>
          </w:tcPr>
          <w:p>
            <w:pPr>
              <w:spacing w:after="0" w:line="260" w:lineRule="exact"/>
              <w:contextualSpacing/>
              <w:jc w:val="center"/>
              <w:rPr>
                <w:rFonts w:hint="eastAsia" w:asciiTheme="minorEastAsia" w:hAnsiTheme="minorEastAsia" w:cstheme="majorEastAsia"/>
                <w:sz w:val="20"/>
                <w:szCs w:val="20"/>
              </w:rPr>
            </w:pPr>
            <w:r>
              <w:rPr>
                <w:rFonts w:hint="eastAsia" w:asciiTheme="minorEastAsia" w:hAnsiTheme="minorEastAsia" w:cstheme="majorEastAsia"/>
                <w:sz w:val="20"/>
                <w:szCs w:val="20"/>
              </w:rPr>
              <w:t>是</w:t>
            </w:r>
            <w:r>
              <w:rPr>
                <w:rFonts w:asciiTheme="minorEastAsia" w:hAnsiTheme="minorEastAsia" w:cstheme="majorEastAsia"/>
                <w:sz w:val="20"/>
                <w:szCs w:val="20"/>
              </w:rPr>
              <w:t>/否</w:t>
            </w:r>
          </w:p>
        </w:tc>
        <w:tc>
          <w:tcPr>
            <w:tcW w:w="5528" w:type="dxa"/>
            <w:vAlign w:val="center"/>
          </w:tcPr>
          <w:p>
            <w:pPr>
              <w:spacing w:after="0" w:line="260" w:lineRule="exact"/>
              <w:contextualSpacing/>
              <w:rPr>
                <w:rFonts w:hint="eastAsia" w:asciiTheme="minorEastAsia" w:hAnsiTheme="minorEastAsia"/>
                <w:sz w:val="20"/>
                <w:szCs w:val="20"/>
                <w:lang w:eastAsia="zh-CN"/>
              </w:rPr>
            </w:pPr>
            <w:r>
              <w:rPr>
                <w:rFonts w:hint="eastAsia" w:asciiTheme="minorEastAsia" w:hAnsiTheme="minorEastAsia"/>
                <w:sz w:val="20"/>
                <w:szCs w:val="20"/>
                <w:lang w:eastAsia="zh-CN"/>
              </w:rPr>
              <w:t>报告年度内，带动中小微企业数字化转型。</w:t>
            </w:r>
          </w:p>
        </w:tc>
        <w:tc>
          <w:tcPr>
            <w:tcW w:w="3544" w:type="dxa"/>
            <w:vAlign w:val="center"/>
          </w:tcPr>
          <w:p>
            <w:pPr>
              <w:spacing w:after="0" w:line="260" w:lineRule="exact"/>
              <w:contextualSpacing/>
              <w:rPr>
                <w:rFonts w:hint="eastAsia" w:asciiTheme="minorEastAsia" w:hAnsiTheme="minorEastAsia" w:cstheme="majorEastAsia"/>
                <w:sz w:val="20"/>
                <w:szCs w:val="20"/>
              </w:rPr>
            </w:pPr>
            <w:r>
              <w:rPr>
                <w:rFonts w:hint="eastAsia" w:asciiTheme="minorEastAsia" w:hAnsiTheme="minorEastAsia" w:cstheme="maj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华文楷体" w:hAnsi="华文楷体" w:eastAsia="华文楷体" w:cs="华文楷体"/>
                <w:sz w:val="24"/>
                <w:szCs w:val="24"/>
              </w:rPr>
            </w:pPr>
            <w:r>
              <w:rPr>
                <w:rFonts w:hint="eastAsia" w:ascii="华文楷体" w:hAnsi="华文楷体" w:eastAsia="华文楷体" w:cs="华文楷体"/>
                <w:sz w:val="24"/>
                <w:szCs w:val="24"/>
              </w:rPr>
              <w:t>数商</w:t>
            </w:r>
            <w:r>
              <w:rPr>
                <w:rFonts w:ascii="华文楷体" w:hAnsi="华文楷体" w:eastAsia="华文楷体" w:cs="华文楷体"/>
                <w:sz w:val="24"/>
                <w:szCs w:val="24"/>
              </w:rPr>
              <w:t>兴农</w:t>
            </w: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带动农村人口创业</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就业人数</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人</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基地通过农村电商带动农村人口创业就业人数。</w:t>
            </w:r>
            <w:r>
              <w:rPr>
                <w:rFonts w:asciiTheme="minorEastAsia" w:hAnsiTheme="minorEastAsia" w:cstheme="majorEastAsia"/>
                <w:sz w:val="20"/>
                <w:szCs w:val="20"/>
              </w:rPr>
              <w:t xml:space="preserve"> </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按企业统计，包括企业名称、地址、带动农村人口创业就业人数等。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华文楷体" w:hAnsi="华文楷体" w:eastAsia="华文楷体" w:cs="华文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农特产品品牌数量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基地通过电商培育推广地方农特产品品牌数量。</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品牌</w:t>
            </w:r>
            <w:r>
              <w:rPr>
                <w:rFonts w:asciiTheme="minorEastAsia" w:hAnsiTheme="minorEastAsia" w:cstheme="majorEastAsia"/>
                <w:sz w:val="20"/>
                <w:szCs w:val="20"/>
              </w:rPr>
              <w:t>名称</w:t>
            </w:r>
            <w:r>
              <w:rPr>
                <w:rFonts w:hint="eastAsia" w:asciiTheme="minorEastAsia" w:hAnsiTheme="minorEastAsia" w:cstheme="majorEastAsia"/>
                <w:sz w:val="20"/>
                <w:szCs w:val="20"/>
              </w:rPr>
              <w:t>及相关销售</w:t>
            </w:r>
            <w:r>
              <w:rPr>
                <w:rFonts w:asciiTheme="minorEastAsia" w:hAnsiTheme="minorEastAsia" w:cstheme="majorEastAsia"/>
                <w:sz w:val="20"/>
                <w:szCs w:val="20"/>
              </w:rPr>
              <w:t>情况</w:t>
            </w:r>
            <w:r>
              <w:rPr>
                <w:rFonts w:hint="eastAsia" w:asciiTheme="minorEastAsia" w:hAnsiTheme="minorEastAsia" w:cstheme="majorEastAsia"/>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华文楷体" w:hAnsi="华文楷体" w:eastAsia="华文楷体" w:cs="华文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助农销售额</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万元</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基地通过电商助农销售金额。</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助农销售额构成明细，按企业统计。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华文楷体" w:hAnsi="华文楷体" w:eastAsia="华文楷体" w:cs="华文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农村电商新基建</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是</w:t>
            </w:r>
            <w:r>
              <w:rPr>
                <w:rFonts w:asciiTheme="minorEastAsia" w:hAnsiTheme="minorEastAsia" w:cstheme="majorEastAsia"/>
                <w:sz w:val="20"/>
                <w:szCs w:val="20"/>
              </w:rPr>
              <w:t>/否</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w:t>
            </w:r>
            <w:r>
              <w:rPr>
                <w:rFonts w:asciiTheme="minorEastAsia" w:hAnsiTheme="minorEastAsia" w:cstheme="majorEastAsia"/>
                <w:sz w:val="20"/>
                <w:szCs w:val="20"/>
              </w:rPr>
              <w:t>内</w:t>
            </w:r>
            <w:r>
              <w:rPr>
                <w:rFonts w:hint="eastAsia" w:asciiTheme="minorEastAsia" w:hAnsiTheme="minorEastAsia" w:cstheme="majorEastAsia"/>
                <w:sz w:val="20"/>
                <w:szCs w:val="20"/>
              </w:rPr>
              <w:t>电商企业应用物联网、5G技术、人工智能等技术建设智慧仓储、运输装备以及对现有仓配冷链设施数字化升级；推动适合乡村市场的数字化产品及服务下沉；开展农村电商数据中心建设；建设服务农村电商的直播间。</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rPr>
                <w:color w:val="FF0000"/>
              </w:rP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吸纳就业</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全体电子商务企业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从业人数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1.报告期末基地全体电子商务企业从业人员数量之和。</w:t>
            </w:r>
          </w:p>
          <w:p>
            <w:pPr>
              <w:spacing w:after="0" w:line="260" w:lineRule="exact"/>
              <w:contextualSpacing/>
              <w:rPr>
                <w:rFonts w:asciiTheme="minorEastAsia" w:hAnsiTheme="minorEastAsia"/>
                <w:sz w:val="20"/>
                <w:szCs w:val="20"/>
              </w:rPr>
            </w:pPr>
            <w:r>
              <w:rPr>
                <w:rFonts w:asciiTheme="minorEastAsia" w:hAnsiTheme="minorEastAsia"/>
                <w:sz w:val="20"/>
                <w:szCs w:val="20"/>
              </w:rPr>
              <w:t>2.企业从业人数统计口径：在本单位工作并取得劳动报酬或经营收入的实有人员数。从业人员还包括在各单位工作的外方人员和港澳台方人员、兼职人员、再就业的离退休人员、借用的外单位人员和第二职业者，但不包括离开本单位仍保留劳动关系的职工。</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2022年全体电子商务企业从业人数，按企业统计，包括企业名称、地址、从业人数、负责人</w:t>
            </w:r>
            <w:r>
              <w:rPr>
                <w:rFonts w:hint="eastAsia" w:asciiTheme="minorEastAsia" w:hAnsiTheme="minorEastAsia"/>
                <w:sz w:val="20"/>
                <w:szCs w:val="20"/>
              </w:rPr>
              <w:t>等</w:t>
            </w:r>
            <w:r>
              <w:rPr>
                <w:rFonts w:asciiTheme="minorEastAsia" w:hAnsi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从业人员增长率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报告年度末基地电子商务从业人数的同比增速。计算公式为（报告年度末基地电子商务从业人数</w:t>
            </w:r>
            <w:r>
              <w:rPr>
                <w:rFonts w:asciiTheme="minorEastAsia" w:hAnsiTheme="minorEastAsia"/>
                <w:sz w:val="20"/>
                <w:szCs w:val="20"/>
              </w:rPr>
              <w:t>/上一年度末基地电子商务从业人数-1）×100%。</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2021</w:t>
            </w:r>
            <w:r>
              <w:rPr>
                <w:rFonts w:hint="eastAsia" w:asciiTheme="minorEastAsia" w:hAnsiTheme="minorEastAsia"/>
                <w:sz w:val="20"/>
                <w:szCs w:val="20"/>
              </w:rPr>
              <w:t>年全体电子商务企业从业人数，按企业统计，包括企业名称、地址、从业人数、负责人等。与前一指标的证明材料可以共用一张报表。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吸纳农民工</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就业人数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报告期末基地全体电子商务企业吸纳农民工就业人数之和。</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w:t>
            </w:r>
            <w:r>
              <w:rPr>
                <w:rFonts w:hint="eastAsia" w:asciiTheme="minorEastAsia" w:hAnsiTheme="minorEastAsia"/>
                <w:sz w:val="20"/>
                <w:szCs w:val="20"/>
              </w:rPr>
              <w:t>年基地全体电子商务企业吸纳农民工就业人数，按企业统计，包括企业名称、地址等。与前一指标的证明材料可以共用一张报表。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吸纳应届大学</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毕业生就业人数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报告期末基地全体电子商务企业吸纳应届大学生就业人数之和。</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w:t>
            </w:r>
            <w:r>
              <w:rPr>
                <w:rFonts w:hint="eastAsia" w:asciiTheme="minorEastAsia" w:hAnsiTheme="minorEastAsia"/>
                <w:sz w:val="20"/>
                <w:szCs w:val="20"/>
              </w:rPr>
              <w:t>年基地全体电子商务企业吸纳应届大学毕业生就业人数，按企业统计，包括企业名称、地址等。与前一指标的证明材料可以共用一张报表。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restart"/>
            <w:vAlign w:val="center"/>
          </w:tcPr>
          <w:p>
            <w:pPr>
              <w:spacing w:after="0" w:line="260" w:lineRule="exact"/>
              <w:contextualSpacing/>
              <w:jc w:val="center"/>
              <w:rPr>
                <w:rFonts w:ascii="黑体" w:hAnsi="黑体" w:eastAsia="黑体" w:cs="黑体"/>
                <w:bCs/>
                <w:sz w:val="24"/>
                <w:szCs w:val="24"/>
              </w:rPr>
            </w:pPr>
            <w:r>
              <w:rPr>
                <w:rFonts w:hint="eastAsia" w:ascii="黑体" w:hAnsi="黑体" w:eastAsia="黑体" w:cs="黑体"/>
                <w:bCs/>
                <w:sz w:val="24"/>
                <w:szCs w:val="24"/>
              </w:rPr>
              <w:t>创新</w:t>
            </w:r>
            <w:r>
              <w:rPr>
                <w:rFonts w:ascii="黑体" w:hAnsi="黑体" w:eastAsia="黑体" w:cs="黑体"/>
                <w:bCs/>
                <w:sz w:val="24"/>
                <w:szCs w:val="24"/>
              </w:rPr>
              <w:t>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发展潜力</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扶持资金</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截至报告期末，基地是否设立专项电子商务扶持资金并积极落实。</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资金设置相关文件，资金使用去向证明、资金申请材料等。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规划发展</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1.截至报告期末，基地是否根据自身情况编制合理的发展规划，科学指导基地建设与未来发展。</w:t>
            </w:r>
          </w:p>
          <w:p>
            <w:pPr>
              <w:spacing w:after="0" w:line="260" w:lineRule="exact"/>
              <w:contextualSpacing/>
              <w:rPr>
                <w:rFonts w:asciiTheme="minorEastAsia" w:hAnsiTheme="minorEastAsia"/>
                <w:sz w:val="20"/>
                <w:szCs w:val="20"/>
              </w:rPr>
            </w:pPr>
            <w:r>
              <w:rPr>
                <w:rFonts w:asciiTheme="minorEastAsia" w:hAnsiTheme="minorEastAsia"/>
                <w:sz w:val="20"/>
                <w:szCs w:val="20"/>
              </w:rPr>
              <w:t>2.不应以基地所在城市或区域的规划代替基地规划。</w:t>
            </w:r>
          </w:p>
          <w:p>
            <w:pPr>
              <w:spacing w:after="0" w:line="260" w:lineRule="exact"/>
              <w:contextualSpacing/>
              <w:rPr>
                <w:rFonts w:asciiTheme="minorEastAsia" w:hAnsiTheme="minorEastAsia"/>
                <w:sz w:val="20"/>
                <w:szCs w:val="20"/>
              </w:rPr>
            </w:pPr>
            <w:r>
              <w:rPr>
                <w:rFonts w:asciiTheme="minorEastAsia" w:hAnsiTheme="minorEastAsia"/>
                <w:sz w:val="20"/>
                <w:szCs w:val="20"/>
              </w:rPr>
              <w:t>3.电商领域专业规划而非其他。</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规划文件、实施方案、行动计划、可行性研究报告等。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产学研合作</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截至报告期末，基地是否与大专院校、研究机构建立合作机制，开展电子商务研究，应用新技术、开发新产品。</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创新应用</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技术模式创新</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鼓励措施</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截至报告期末，是否制定激励基地内电商企业、数商企业在</w:t>
            </w:r>
            <w:r>
              <w:rPr>
                <w:rFonts w:asciiTheme="minorEastAsia" w:hAnsiTheme="minorEastAsia"/>
                <w:sz w:val="20"/>
                <w:szCs w:val="20"/>
              </w:rPr>
              <w:t>5G、</w:t>
            </w:r>
            <w:r>
              <w:rPr>
                <w:rFonts w:hint="eastAsia" w:asciiTheme="minorEastAsia" w:hAnsiTheme="minorEastAsia"/>
                <w:sz w:val="20"/>
                <w:szCs w:val="20"/>
              </w:rPr>
              <w:t>大数据、物联网、云计算、人工智能、区块链、虚拟现实</w:t>
            </w:r>
            <w:r>
              <w:rPr>
                <w:rFonts w:asciiTheme="minorEastAsia" w:hAnsiTheme="minorEastAsia"/>
                <w:sz w:val="20"/>
                <w:szCs w:val="20"/>
              </w:rPr>
              <w:t>/增强现实</w:t>
            </w:r>
            <w:r>
              <w:rPr>
                <w:rFonts w:hint="eastAsia" w:asciiTheme="minorEastAsia" w:hAnsiTheme="minorEastAsia"/>
                <w:sz w:val="20"/>
                <w:szCs w:val="20"/>
              </w:rPr>
              <w:t>等先进信息技术领域及商业模式方面开展创新应用的措施。</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相关措施政策文件、具体做法及取得成效，可以提供具体案例。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技术模式创新</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应用成果</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个</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截至报告期末，基地内以自有技术或</w:t>
            </w:r>
            <w:r>
              <w:rPr>
                <w:rFonts w:asciiTheme="minorEastAsia" w:hAnsiTheme="minorEastAsia"/>
                <w:sz w:val="20"/>
                <w:szCs w:val="20"/>
              </w:rPr>
              <w:t>商业模式</w:t>
            </w:r>
            <w:r>
              <w:rPr>
                <w:rFonts w:hint="eastAsia" w:asciiTheme="minorEastAsia" w:hAnsiTheme="minorEastAsia"/>
                <w:sz w:val="20"/>
                <w:szCs w:val="20"/>
              </w:rPr>
              <w:t>创新作为核心竞争力，并取得明显成效的电子商务企业数量。</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技术或</w:t>
            </w:r>
            <w:r>
              <w:rPr>
                <w:rFonts w:asciiTheme="minorEastAsia" w:hAnsiTheme="minorEastAsia"/>
                <w:sz w:val="20"/>
                <w:szCs w:val="20"/>
              </w:rPr>
              <w:t>模式</w:t>
            </w:r>
            <w:r>
              <w:rPr>
                <w:rFonts w:hint="eastAsia" w:asciiTheme="minorEastAsia" w:hAnsiTheme="minorEastAsia"/>
                <w:sz w:val="20"/>
                <w:szCs w:val="20"/>
              </w:rPr>
              <w:t>创新电商企业名单，可以提供具体案例。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新消费品牌培育</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基地是否引导企业应用大数据技术，发展</w:t>
            </w:r>
            <w:r>
              <w:rPr>
                <w:rFonts w:asciiTheme="minorEastAsia" w:hAnsiTheme="minorEastAsia"/>
                <w:sz w:val="20"/>
                <w:szCs w:val="20"/>
              </w:rPr>
              <w:t>C2M模式，培育和推广“国潮精品”，促进“小而美”新消费品牌成长、国产优秀品牌网络销售</w:t>
            </w:r>
            <w:r>
              <w:rPr>
                <w:rFonts w:hint="eastAsia" w:asciiTheme="minorEastAsia" w:hAnsiTheme="minorEastAsia"/>
                <w:sz w:val="20"/>
                <w:szCs w:val="20"/>
              </w:rPr>
              <w:t>。</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电商直播</w:t>
            </w:r>
            <w:r>
              <w:rPr>
                <w:rFonts w:asciiTheme="minorEastAsia" w:hAnsiTheme="minorEastAsia"/>
                <w:sz w:val="20"/>
                <w:szCs w:val="20"/>
              </w:rPr>
              <w:t>基地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基地是否建设电商直播基地；开展直播带货场次</w:t>
            </w:r>
            <w:r>
              <w:rPr>
                <w:rFonts w:asciiTheme="minorEastAsia" w:hAnsiTheme="minorEastAsia"/>
                <w:sz w:val="20"/>
                <w:szCs w:val="20"/>
              </w:rPr>
              <w:t>、</w:t>
            </w:r>
            <w:r>
              <w:rPr>
                <w:rFonts w:hint="eastAsia" w:asciiTheme="minorEastAsia" w:hAnsiTheme="minorEastAsia"/>
                <w:sz w:val="20"/>
                <w:szCs w:val="20"/>
              </w:rPr>
              <w:t>交易额、涉农</w:t>
            </w:r>
            <w:r>
              <w:rPr>
                <w:rFonts w:asciiTheme="minorEastAsia" w:hAnsiTheme="minorEastAsia"/>
                <w:sz w:val="20"/>
                <w:szCs w:val="20"/>
              </w:rPr>
              <w:t>直播场次、</w:t>
            </w:r>
            <w:r>
              <w:rPr>
                <w:rFonts w:hint="eastAsia" w:asciiTheme="minorEastAsia" w:hAnsiTheme="minorEastAsia"/>
                <w:sz w:val="20"/>
                <w:szCs w:val="20"/>
              </w:rPr>
              <w:t>农副产品交易额。</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提供基地组织企业开展直播</w:t>
            </w:r>
            <w:r>
              <w:rPr>
                <w:rFonts w:asciiTheme="minorEastAsia" w:hAnsiTheme="minorEastAsia"/>
                <w:sz w:val="20"/>
                <w:szCs w:val="20"/>
              </w:rPr>
              <w:t>带货</w:t>
            </w:r>
            <w:r>
              <w:rPr>
                <w:rFonts w:hint="eastAsia" w:asciiTheme="minorEastAsia" w:hAnsiTheme="minorEastAsia"/>
                <w:sz w:val="20"/>
                <w:szCs w:val="20"/>
              </w:rPr>
              <w:t>的相关文件、通知要求，参加企业名单、成交额构成明细及相关报道等。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rPr>
                <w:rFonts w:asciiTheme="majorEastAsia" w:hAnsiTheme="majorEastAsia" w:eastAsiaTheme="majorEastAsia" w:cstheme="majorEastAsia"/>
              </w:rPr>
            </w:pPr>
          </w:p>
        </w:tc>
        <w:tc>
          <w:tcPr>
            <w:tcW w:w="709" w:type="dxa"/>
            <w:vMerge w:val="restart"/>
            <w:vAlign w:val="center"/>
          </w:tcPr>
          <w:p>
            <w:pPr>
              <w:spacing w:after="0" w:line="260" w:lineRule="exact"/>
              <w:contextualSpacing/>
              <w:jc w:val="center"/>
              <w:rPr>
                <w:rFonts w:ascii="华文楷体" w:hAnsi="华文楷体" w:eastAsia="华文楷体" w:cs="华文楷体"/>
                <w:sz w:val="24"/>
                <w:szCs w:val="24"/>
              </w:rPr>
            </w:pPr>
            <w:r>
              <w:rPr>
                <w:rFonts w:hint="eastAsia" w:ascii="楷体" w:hAnsi="楷体" w:eastAsia="楷体"/>
                <w:sz w:val="24"/>
                <w:szCs w:val="24"/>
              </w:rPr>
              <w:t>行业规范</w:t>
            </w: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行业标准数</w:t>
            </w:r>
          </w:p>
        </w:tc>
        <w:tc>
          <w:tcPr>
            <w:tcW w:w="851" w:type="dxa"/>
            <w:vAlign w:val="center"/>
          </w:tcPr>
          <w:p>
            <w:pPr>
              <w:spacing w:after="0" w:line="260" w:lineRule="exact"/>
              <w:ind w:firstLine="100" w:firstLineChars="50"/>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1.截至报告期末，基地制定和实施的电子商务行业标准与规范数量之和。</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2.与电子商务行业相关，而非其他行业领域。</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标准与规范文件名称及内容，应注明已发布实施或起草制定阶段。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rPr>
                <w:rFonts w:asciiTheme="majorEastAsia" w:hAnsiTheme="majorEastAsia" w:eastAsiaTheme="majorEastAsia" w:cstheme="majorEastAsia"/>
              </w:rPr>
            </w:pPr>
          </w:p>
        </w:tc>
        <w:tc>
          <w:tcPr>
            <w:tcW w:w="709" w:type="dxa"/>
            <w:vMerge w:val="continue"/>
            <w:vAlign w:val="center"/>
          </w:tcPr>
          <w:p>
            <w:pPr>
              <w:spacing w:after="0" w:line="260" w:lineRule="exact"/>
              <w:contextualSpacing/>
              <w:jc w:val="center"/>
              <w:rPr>
                <w:rFonts w:asciiTheme="majorEastAsia" w:hAnsiTheme="majorEastAsia" w:eastAsiaTheme="majorEastAsia" w:cstheme="majorEastAsia"/>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信用体系</w:t>
            </w:r>
            <w:r>
              <w:rPr>
                <w:rFonts w:asciiTheme="minorEastAsia" w:hAnsiTheme="minorEastAsia" w:cstheme="majorEastAsia"/>
                <w:sz w:val="20"/>
                <w:szCs w:val="20"/>
              </w:rPr>
              <w:t>建设</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是</w:t>
            </w:r>
            <w:r>
              <w:rPr>
                <w:rFonts w:asciiTheme="minorEastAsia" w:hAnsiTheme="minorEastAsia" w:cstheme="majorEastAsia"/>
                <w:sz w:val="20"/>
                <w:szCs w:val="20"/>
              </w:rPr>
              <w:t>/否</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截至报告期末，基地是否开展或合作开展电子商务信用体系建设工作。</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信用体系建设相关标准、办法、</w:t>
            </w:r>
            <w:r>
              <w:rPr>
                <w:rFonts w:asciiTheme="minorEastAsia" w:hAnsiTheme="minorEastAsia" w:cstheme="majorEastAsia"/>
                <w:sz w:val="20"/>
                <w:szCs w:val="20"/>
              </w:rPr>
              <w:t>进展</w:t>
            </w:r>
            <w:r>
              <w:rPr>
                <w:rFonts w:hint="eastAsia" w:asciiTheme="minorEastAsia" w:hAnsiTheme="minorEastAsia" w:cstheme="majorEastAsia"/>
                <w:sz w:val="20"/>
                <w:szCs w:val="20"/>
              </w:rPr>
              <w:t>及</w:t>
            </w:r>
            <w:r>
              <w:rPr>
                <w:rFonts w:asciiTheme="minorEastAsia" w:hAnsiTheme="minorEastAsia" w:cstheme="majorEastAsia"/>
                <w:sz w:val="20"/>
                <w:szCs w:val="20"/>
              </w:rPr>
              <w:t>成效</w:t>
            </w:r>
            <w:r>
              <w:rPr>
                <w:rFonts w:hint="eastAsia" w:asciiTheme="minorEastAsia" w:hAnsiTheme="minorEastAsia" w:cstheme="majorEastAsia"/>
                <w:sz w:val="20"/>
                <w:szCs w:val="20"/>
              </w:rPr>
              <w:t>等。</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F16B4"/>
    <w:multiLevelType w:val="singleLevel"/>
    <w:tmpl w:val="CC7F16B4"/>
    <w:lvl w:ilvl="0" w:tentative="0">
      <w:start w:val="1"/>
      <w:numFmt w:val="decimal"/>
      <w:suff w:val="nothing"/>
      <w:lvlText w:val="（%1）"/>
      <w:lvlJc w:val="left"/>
    </w:lvl>
  </w:abstractNum>
  <w:abstractNum w:abstractNumId="1">
    <w:nsid w:val="7F663245"/>
    <w:multiLevelType w:val="singleLevel"/>
    <w:tmpl w:val="7F66324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NWZkOTJkYjY0MmY1NmViZTUxOGE1NjNmNTc3MzIifQ=="/>
  </w:docVars>
  <w:rsids>
    <w:rsidRoot w:val="264A5AB8"/>
    <w:rsid w:val="03193C33"/>
    <w:rsid w:val="264A5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7392</Words>
  <Characters>7518</Characters>
  <Lines>0</Lines>
  <Paragraphs>0</Paragraphs>
  <TotalTime>0</TotalTime>
  <ScaleCrop>false</ScaleCrop>
  <LinksUpToDate>false</LinksUpToDate>
  <CharactersWithSpaces>7519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2023-06-08T02:50:00Z</dcterms:created>
  <dc:creator>宋昕超</dc:creator>
  <cp:lastModifiedBy>宋昕超</cp:lastModifiedBy>
  <dcterms:modified xsi:type="dcterms:W3CDTF">2023-06-09T04:17:14Z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531F54F587F8443B9E3FBADBD203AE5B_11</vt:lpwstr>
  </property>
</Properties>
</file>