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36" w:afterLines="100" w:line="600" w:lineRule="exact"/>
        <w:jc w:val="left"/>
        <w:textAlignment w:val="auto"/>
        <w:outlineLvl w:val="9"/>
        <w:rPr>
          <w:rFonts w:hint="default" w:ascii="黑体" w:hAnsi="黑体" w:eastAsia="黑体" w:cs="黑体"/>
          <w:sz w:val="36"/>
          <w:szCs w:val="36"/>
          <w:lang w:val="en" w:eastAsia="zh-CN"/>
        </w:rPr>
      </w:pPr>
      <w:bookmarkStart w:id="0" w:name="_GoBack"/>
      <w:bookmarkEnd w:id="0"/>
      <w:r>
        <w:rPr>
          <w:rFonts w:hint="eastAsia" w:ascii="黑体" w:hAnsi="黑体" w:eastAsia="黑体" w:cs="黑体"/>
          <w:sz w:val="36"/>
          <w:szCs w:val="36"/>
          <w:lang w:val="en" w:eastAsia="zh-CN"/>
        </w:rPr>
        <w:t>附件</w:t>
      </w:r>
    </w:p>
    <w:p>
      <w:pPr>
        <w:keepNext w:val="0"/>
        <w:keepLines w:val="0"/>
        <w:pageBreakBefore w:val="0"/>
        <w:widowControl w:val="0"/>
        <w:kinsoku/>
        <w:wordWrap/>
        <w:overflowPunct/>
        <w:topLinePunct w:val="0"/>
        <w:autoSpaceDE/>
        <w:autoSpaceDN/>
        <w:bidi w:val="0"/>
        <w:adjustRightInd/>
        <w:snapToGrid/>
        <w:spacing w:after="436" w:afterLines="100" w:line="600" w:lineRule="exact"/>
        <w:jc w:val="center"/>
        <w:textAlignment w:val="auto"/>
        <w:outlineLvl w:val="9"/>
        <w:rPr>
          <w:rFonts w:ascii="LinTimes" w:hAnsi="LinTimes" w:eastAsia="方正小标宋简体" w:cs="LinTimes"/>
          <w:sz w:val="36"/>
          <w:szCs w:val="36"/>
        </w:rPr>
      </w:pPr>
      <w:r>
        <w:rPr>
          <w:rFonts w:hint="eastAsia" w:ascii="LinTimes" w:hAnsi="LinTimes" w:eastAsia="方正小标宋简体" w:cs="LinTimes"/>
          <w:sz w:val="36"/>
          <w:szCs w:val="36"/>
          <w:lang w:eastAsia="zh-CN"/>
        </w:rPr>
        <w:t>二手车产品</w:t>
      </w:r>
      <w:r>
        <w:rPr>
          <w:rFonts w:ascii="LinTimes" w:hAnsi="LinTimes" w:eastAsia="方正小标宋简体" w:cs="LinTimes"/>
          <w:sz w:val="36"/>
          <w:szCs w:val="36"/>
        </w:rPr>
        <w:t>目录</w:t>
      </w:r>
    </w:p>
    <w:tbl>
      <w:tblPr>
        <w:tblStyle w:val="4"/>
        <w:tblW w:w="10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76"/>
        <w:gridCol w:w="8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exact"/>
          <w:tblHeader/>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rPr>
              <w:t>海关商品编号</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rPr>
              <w:t>货物名称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4"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8701210000</w:t>
            </w:r>
          </w:p>
          <w:p>
            <w:pPr>
              <w:widowControl/>
              <w:spacing w:line="260" w:lineRule="exact"/>
              <w:jc w:val="center"/>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8701220000</w:t>
            </w:r>
          </w:p>
          <w:p>
            <w:pPr>
              <w:widowControl/>
              <w:spacing w:line="260" w:lineRule="exact"/>
              <w:jc w:val="center"/>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8701230000</w:t>
            </w:r>
          </w:p>
          <w:p>
            <w:pPr>
              <w:widowControl/>
              <w:spacing w:line="260" w:lineRule="exact"/>
              <w:jc w:val="center"/>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8701240000</w:t>
            </w:r>
          </w:p>
          <w:p>
            <w:pPr>
              <w:widowControl/>
              <w:spacing w:line="260" w:lineRule="exact"/>
              <w:jc w:val="center"/>
              <w:textAlignment w:val="top"/>
              <w:rPr>
                <w:rFonts w:ascii="LinTimes" w:hAnsi="LinTimes" w:eastAsia="宋体" w:cs="LinTimes"/>
                <w:strike/>
                <w:dstrike w:val="0"/>
                <w:color w:val="FF0000"/>
                <w:sz w:val="21"/>
                <w:szCs w:val="21"/>
                <w:highlight w:val="none"/>
              </w:rPr>
            </w:pPr>
            <w:r>
              <w:rPr>
                <w:rFonts w:hint="default" w:ascii="LinTimes" w:hAnsi="LinTimes" w:eastAsia="宋体" w:cs="LinTimes"/>
                <w:color w:val="auto"/>
                <w:kern w:val="0"/>
                <w:sz w:val="21"/>
                <w:szCs w:val="21"/>
                <w:highlight w:val="none"/>
              </w:rPr>
              <w:t>8701290000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半挂车用的公路牵引车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8702109100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30座及以上的仅装有压燃式活塞内燃发动机（柴油或半柴油发动机）的大型客车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8702109210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20座及以上但不超过23座的仅装有压燃式活塞内燃发动机（柴油或半柴油发动机）的客车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8702109290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24座及以上但不超过29座的仅装有压燃式活塞内燃发动机（柴油或半柴油发动机）的客车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8702109300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10座及以上但不超过19座的仅装有压燃式活塞内燃发动机（柴油或半柴油发动机）的客车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8702209100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30座及以上的同时装有压燃式活塞内燃发动机（柴油或半柴油发动机）及驱动电动机的大型客车（指装有柴油或半柴油发动机的30座及以上的客运车）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8702209210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20座及以上但不超过23座的同时装有压燃式活塞内燃发动机（柴油或半柴油发动机）及驱动电动机的客车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8702209290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24座及以上但不超过29座的同时装有压燃式活塞内燃发动机（柴油或半柴油发动机）及驱动电动机的客车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8702209300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10座及以上但不超过19座的同时装有压燃式活塞内燃发动机（柴油或半柴油发动机）及驱动电动机的客车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8702301000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30座及以上的同时装有点燃式活塞内燃发动机及驱动电动机的大型客车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8702302010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20座及以上但不超过23座的同时装有点燃式活塞内燃发动机及驱动电动机的客车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8702302090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24座及以上但不超过29座的同时装有点燃式活塞内燃发动机及驱动电动机的客车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8702303000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10座及以上但不超过19座的同时装有点燃式活塞内燃发动机及驱动电动机的客车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87024010</w:t>
            </w:r>
            <w:r>
              <w:rPr>
                <w:rFonts w:ascii="LinTimes" w:hAnsi="LinTimes" w:eastAsia="宋体" w:cs="LinTimes"/>
                <w:color w:val="000000"/>
                <w:kern w:val="0"/>
                <w:sz w:val="21"/>
                <w:szCs w:val="21"/>
                <w:highlight w:val="none"/>
              </w:rPr>
              <w:t>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ascii="LinTimes" w:hAnsi="LinTimes" w:eastAsia="宋体" w:cs="LinTimes"/>
                <w:color w:val="000000"/>
                <w:kern w:val="0"/>
                <w:sz w:val="21"/>
                <w:szCs w:val="21"/>
                <w:highlight w:val="none"/>
              </w:rPr>
              <w:t>其他</w:t>
            </w:r>
            <w:r>
              <w:rPr>
                <w:rFonts w:hint="default" w:ascii="LinTimes" w:hAnsi="LinTimes" w:eastAsia="宋体" w:cs="LinTimes"/>
                <w:color w:val="000000"/>
                <w:kern w:val="0"/>
                <w:sz w:val="21"/>
                <w:szCs w:val="21"/>
                <w:highlight w:val="none"/>
              </w:rPr>
              <w:t>30座及以上的仅装有驱动电动机的大型客车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8702402010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20座及以上但不超过23座的仅装有驱动电动机的客车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8702402090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24座及以上但不超过29座的仅装有驱动电动机的客车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8702403000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10座及以上但不超过19座的仅装有驱动电动机的客车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8702901000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30座及以上的大型客车（指装有其他发动机的30座及以上的客运车）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8702902001</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20座及以上但不超过23座的装有非压燃式活塞内燃发动机的客车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8702902090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24座及以上但不超过29座的装有非压燃式活塞内燃发动机的客车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8702903000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10座及以上但不超过19座的装有非压燃式活塞内燃发动机的客车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8703213010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不超过1升的点燃式活塞内燃发动机的小轿车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8703214010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不超过1升的点燃式活塞内燃发动机的越野车（4轮驱动）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8703215010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不超过1升的点燃式活塞内燃发动机的小客车（9座及以下）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8703219010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不超过1升的点燃式活塞内燃发动机的其他载人车辆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8703223010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超过1升但不超过1.5升的点燃式活塞内燃发动机小轿车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8703224010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ascii="LinTimes" w:hAnsi="LinTimes" w:eastAsia="宋体" w:cs="LinTimes"/>
                <w:color w:val="000000"/>
                <w:kern w:val="0"/>
                <w:sz w:val="21"/>
                <w:szCs w:val="21"/>
                <w:highlight w:val="none"/>
              </w:rPr>
              <w:t>超过</w:t>
            </w:r>
            <w:r>
              <w:rPr>
                <w:rFonts w:hint="default" w:ascii="LinTimes" w:hAnsi="LinTimes" w:eastAsia="宋体" w:cs="LinTimes"/>
                <w:color w:val="000000"/>
                <w:kern w:val="0"/>
                <w:sz w:val="21"/>
                <w:szCs w:val="21"/>
                <w:highlight w:val="none"/>
              </w:rPr>
              <w:t>1升但不超过1.5升的点燃活塞内燃发动机四轮驱动越野车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8703225010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超过1升但不超过1.5升的点燃式活塞内燃发动机小客车（9座及以下）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8703229010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超过1升但不超过1.5升的点燃式活塞内燃发动机其他载人车辆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8703234110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超过1.5升但不超过2升的点燃式活塞内燃发动机小轿车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8703234210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超过1.5升但不超过2升的点燃式活塞内燃发动机越野车（4轮驱动）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8703234310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超过1.5升但不超过2升的点燃式活塞内燃发动机小客车（9座及以下）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8703234910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超过1.5升但不超过2升的点燃式活塞内燃发动机的其他载人车辆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8703235110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超过2升但不超过2.5升的点燃式活塞内燃发动机小轿车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8703235210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超过2升但不超过2.5升的点燃式活塞内燃发动机越野车（4轮驱动）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8703235310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超过2升但不超过2.5升的点燃式活塞内燃发动机小客车（9座及以下）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8703235910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超过2升但不超过2.5升的点燃式活塞内燃发动机的其他载人车辆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8703236110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超过2.5升但不超过3升的点燃式活塞内燃发动机小轿车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8703236210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超过2.5升但不超过3升的点燃式活塞内燃发动机越野车（4轮驱动）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8703236310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超过2.5升但不超过3升的点燃式活塞内燃发动机小客车（9座及以下）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8703236910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超过2.5升但不超过3升的点燃式活塞内燃发动机的其他载人车辆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8703241110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超过3升但不超过4升的点燃式活塞内燃发动机小轿车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8703241210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超过3升但不超过4升的点燃</w:t>
            </w:r>
            <w:r>
              <w:rPr>
                <w:rFonts w:hint="default" w:ascii="LinTimes" w:hAnsi="LinTimes" w:eastAsia="宋体" w:cs="LinTimes"/>
                <w:color w:val="auto"/>
                <w:kern w:val="0"/>
                <w:sz w:val="21"/>
                <w:szCs w:val="21"/>
                <w:highlight w:val="none"/>
              </w:rPr>
              <w:t>式</w:t>
            </w:r>
            <w:r>
              <w:rPr>
                <w:rFonts w:hint="default" w:ascii="LinTimes" w:hAnsi="LinTimes" w:eastAsia="宋体" w:cs="LinTimes"/>
                <w:color w:val="000000"/>
                <w:kern w:val="0"/>
                <w:sz w:val="21"/>
                <w:szCs w:val="21"/>
                <w:highlight w:val="none"/>
              </w:rPr>
              <w:t>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8703241310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超过3升但不超过4升的点燃式活塞内燃发动机的小客车（9座及以下）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8703241910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超过3升但不超过4升的点燃式活塞内燃发动机的其他载人车辆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8703242110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超过4升的点燃式活塞内燃发动机小轿车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8703242210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超过4升的点燃式活塞内燃发动机越野车（4轮驱动）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8703242310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超过4升的点燃式活塞内燃发动机的小客车（9座及以下）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8703242910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超过4升的点燃式活塞内燃发动机的其他载人车辆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8703311110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8703311910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不超过1升的压燃式活塞内燃发动机的其他载人车辆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8703312110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8703312210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超过1升但不超过1.5升的压燃式活塞内燃发动机越野车（4轮驱动）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8703312310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超过1升但不超过1.5升的压燃式活塞内燃发动机小客车（9座及以下）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8703312910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超过1升但不超过1.5升的压燃式活塞内燃发动机的其他载人车辆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8703321110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8703321210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超过1.5升但不超过2升的压燃式活塞内燃发动机越野车（4轮驱动）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8703321310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超过1.5升但不超过2升的装压燃式活塞内燃发动机小客车（9座及以下）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8703321910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超过1.5升但不超过2升的压燃式活塞内燃发动机的其他载人车辆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8703322110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8703322210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8703322310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8703322910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超过2升但不超过2.5升的压燃式活塞内燃发动机的其他载人车辆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8703331110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8703331210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超过2.5升但不超过3升的压燃式活塞内燃发动机越野车（4轮驱动）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8703331310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超过2.5升但不超过3升的压燃式活塞内燃发动机小客车（9座及以下）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8703331910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超过2.5升但不超过3升的压燃式活塞内燃发动机的其他载人车辆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8703332110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8703332210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超过3升但不超过4升的压燃式活塞内燃发动机越野车（4轮驱动）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8703332310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超过3升但不超过4升的压燃式活塞内燃发动机小客车（9座及以下）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8703332910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超过3升但不超过4升的压燃式活塞内燃发动机的其他载人车辆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8703336110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超过4升的压燃式活塞内燃发动机小轿车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8703336210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超过4升的压燃式活塞内燃发动机越野车（4轮驱动）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8703336310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超过4升的压燃式活塞内燃发动机小客车（9座及以下）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8703336910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仅装有</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超过4升的压燃式活塞内燃发动机其他载人车辆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8703401110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8703401210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不超过1升）及驱动电动机的越野车（4轮驱动）（可通过接插外部电源进行充电的除外）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8703401310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8703401910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8703402110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8703402210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8703402310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8703402910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8703403110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8703403210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8703403310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8703403910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8703404110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8703404210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8703404310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8703404910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8703405110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8703405210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8703405310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8703405910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8703406110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8703406210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8703406310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8703406910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8703407110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8703407210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8703407310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8703407910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同时装有点燃式活塞内燃发动机（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超过4升）及驱动电动机的其他载人车辆（可通过接插外部电源进行充电的除外）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8703501110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8703501910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不超过1升）及驱动电动机的其他载人车辆（可通过接插外部电源进行充电的除外）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8703502110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8703502210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8703502310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8703502910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超过1升但不超过1.5升）及驱动电动机的其他载人车辆（可通过接插外部电源进行充电的除外）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8703503110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8703503210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8703503310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8703503910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超过1.5升但不超过2升）及驱动电动机的其他载人车辆（可通过接插外部电源进行充电的除外）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8703504110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8703504210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8703504310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8703504910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超过2升但不超过2.5升）及驱动电动机的其他载人车辆（可通过接插外部电源进行充电的除外）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8703505110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8703505210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8703505310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8703505910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超过2.5升但不超过3升）及驱动电动机的其他载人车辆（可通过接插外部电源进行充电的除外）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8703506110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000000"/>
                <w:sz w:val="21"/>
                <w:szCs w:val="21"/>
                <w:highlight w:val="none"/>
              </w:rPr>
            </w:pPr>
            <w:r>
              <w:rPr>
                <w:rFonts w:hint="default" w:ascii="LinTimes" w:hAnsi="LinTimes" w:eastAsia="宋体" w:cs="LinTimes"/>
                <w:color w:val="000000"/>
                <w:kern w:val="0"/>
                <w:sz w:val="21"/>
                <w:szCs w:val="21"/>
                <w:highlight w:val="none"/>
              </w:rPr>
              <w:t>同时装有压燃式活塞内燃发动机（柴油或半柴油发动机，</w:t>
            </w:r>
            <w:r>
              <w:rPr>
                <w:rFonts w:hint="default" w:ascii="LinTimes" w:hAnsi="LinTimes" w:cs="LinTimes"/>
                <w:color w:val="000000"/>
                <w:kern w:val="0"/>
                <w:sz w:val="21"/>
                <w:szCs w:val="21"/>
                <w:highlight w:val="none"/>
                <w:lang w:val="en"/>
              </w:rPr>
              <w:t>排气量</w:t>
            </w:r>
            <w:r>
              <w:rPr>
                <w:rFonts w:hint="default" w:ascii="LinTimes" w:hAnsi="LinTimes" w:eastAsia="宋体" w:cs="LinTimes"/>
                <w:color w:val="000000"/>
                <w:kern w:val="0"/>
                <w:sz w:val="21"/>
                <w:szCs w:val="21"/>
                <w:highlight w:val="none"/>
              </w:rPr>
              <w:t>超过3升但不超过4升）及驱动电动机的小轿车（可通过接插外部电源进行充电的除外）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8703506210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超过3升但不超过4升）及驱动电动机的四轮驱动越野车（可通过接插外部电源进行充电的除外）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8703506310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超过3升但不超过4升）及驱动电动机的小客车（9座及以下，可通过接插外部电源进行充电的除外）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8703506910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超过3升但不超过4升）及驱动电动机的其他载人车辆（可通过接插外部电源进行充电的除外）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8703507110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超过4升）及驱动电动机的小轿车（可通过接插外部电源进行充电的除外）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8703507210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超过4升）及驱动电动机的四轮驱动越野车（可通过接插外部电源进行充电的除外）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8703507310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超过4升）及驱动电动机的的小客车（9座及以下，可通过接插外部电源进行充电的除外）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8703507910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超过4升）及驱动电动机的的其他载人车辆（可通过接插外部电源进行充电的除外）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6"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8703601100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8703601200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8703601300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8703601900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,排气量不超过1000毫升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8703602100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8703602200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8703602300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8703602900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超过1000毫升，但不超过1500毫升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8703603100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8703603200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8703603300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8703603900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超过1500毫升，但不超过2000毫升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8703604100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8703604200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8703604300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8703604900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超过2000毫升，但不超过2500毫升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4"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8703605100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8703605200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8703605300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8703605900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超过2500毫升，但不超过3000毫升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4"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8703606100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8703606200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8703606300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8703606900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超过3000毫升，但不超过4000毫升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8703607100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8703607200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8703607300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8703607900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同时装有点燃式活塞内燃发动机及驱动电动机、可通过接插外部电源进行充电的其他载人车辆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超过4000毫升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8703701100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8703701200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8703701300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8703701900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不超过1000毫升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1"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8703702100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8703702200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8703702300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8703702900</w:t>
            </w:r>
          </w:p>
          <w:p>
            <w:pPr>
              <w:widowControl/>
              <w:spacing w:line="260" w:lineRule="exact"/>
              <w:textAlignment w:val="center"/>
              <w:rPr>
                <w:rFonts w:ascii="LinTimes" w:hAnsi="LinTimes" w:eastAsia="宋体" w:cs="LinTimes"/>
                <w:color w:val="auto"/>
                <w:kern w:val="0"/>
                <w:sz w:val="21"/>
                <w:szCs w:val="21"/>
                <w:highlight w:val="none"/>
              </w:rPr>
            </w:pP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超过1000毫升，但不超过1500毫升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8703703100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8703703200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8703703300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8703703900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超过1500毫升，但不超过2000毫升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5"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8703704100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8703704200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8703704300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8703704900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超过2000毫升，但不超过2500毫升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5"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8703705100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8703705200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8703705300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8703705900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超过2500毫升，但不超过3000毫升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5"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8703706100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8703706200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8703706300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8703706900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超过3000毫升，但不超过4000毫升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8"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8703707100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8703707200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8703707300</w:t>
            </w:r>
          </w:p>
          <w:p>
            <w:pPr>
              <w:widowControl/>
              <w:spacing w:line="260" w:lineRule="exact"/>
              <w:jc w:val="center"/>
              <w:textAlignment w:val="center"/>
              <w:rPr>
                <w:rFonts w:ascii="LinTimes" w:hAnsi="LinTimes" w:eastAsia="宋体" w:cs="LinTimes"/>
                <w:color w:val="auto"/>
                <w:kern w:val="0"/>
                <w:sz w:val="21"/>
                <w:szCs w:val="21"/>
                <w:highlight w:val="none"/>
              </w:rPr>
            </w:pPr>
            <w:r>
              <w:rPr>
                <w:rFonts w:ascii="LinTimes" w:hAnsi="LinTimes" w:eastAsia="宋体" w:cs="LinTimes"/>
                <w:color w:val="auto"/>
                <w:kern w:val="0"/>
                <w:sz w:val="21"/>
                <w:szCs w:val="21"/>
                <w:highlight w:val="none"/>
              </w:rPr>
              <w:t>8703707900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同时装有压燃活塞内燃发动机（柴油或半柴油发动机）及驱动电动机、可通过接插外部电源进行充电的其他载人车辆</w:t>
            </w:r>
            <w:r>
              <w:rPr>
                <w:rFonts w:ascii="LinTimes" w:hAnsi="LinTimes" w:eastAsia="宋体" w:cs="LinTimes"/>
                <w:color w:val="auto"/>
                <w:kern w:val="0"/>
                <w:sz w:val="21"/>
                <w:szCs w:val="21"/>
                <w:highlight w:val="none"/>
              </w:rPr>
              <w:t>，</w:t>
            </w:r>
            <w:r>
              <w:rPr>
                <w:rFonts w:ascii="LinTimes" w:hAnsi="LinTimes" w:cs="LinTimes"/>
                <w:color w:val="auto"/>
                <w:kern w:val="0"/>
                <w:sz w:val="21"/>
                <w:szCs w:val="21"/>
                <w:highlight w:val="none"/>
                <w:lang w:val="en"/>
              </w:rPr>
              <w:t>排气量</w:t>
            </w:r>
            <w:r>
              <w:rPr>
                <w:rFonts w:ascii="LinTimes" w:hAnsi="LinTimes" w:eastAsia="宋体" w:cs="LinTimes"/>
                <w:color w:val="auto"/>
                <w:kern w:val="0"/>
                <w:sz w:val="21"/>
                <w:szCs w:val="21"/>
                <w:highlight w:val="none"/>
              </w:rPr>
              <w:t>超过4000毫升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8703800010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旧的仅装有驱动电动机的其他载人车辆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8703900021</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不超过1升的其他载人车辆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8703900022</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超过1升但不超过1.5升的其他载人车辆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8703900023</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超过1.5升但不超过2升的其他载人车辆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8703900024</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超过2升但不超过2.5升的其他载人车辆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8703900025</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超过2.5升但不超过3升的其他载人车辆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8703900026</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超过3升但不超过4升的其他载人车辆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8703900027</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其他型</w:t>
            </w:r>
            <w:r>
              <w:rPr>
                <w:rFonts w:hint="default" w:ascii="LinTimes" w:hAnsi="LinTimes" w:cs="LinTimes"/>
                <w:color w:val="auto"/>
                <w:kern w:val="0"/>
                <w:sz w:val="21"/>
                <w:szCs w:val="21"/>
                <w:highlight w:val="none"/>
                <w:lang w:val="en"/>
              </w:rPr>
              <w:t>排气量</w:t>
            </w:r>
            <w:r>
              <w:rPr>
                <w:rFonts w:hint="default" w:ascii="LinTimes" w:hAnsi="LinTimes" w:eastAsia="宋体" w:cs="LinTimes"/>
                <w:color w:val="auto"/>
                <w:kern w:val="0"/>
                <w:sz w:val="21"/>
                <w:szCs w:val="21"/>
                <w:highlight w:val="none"/>
              </w:rPr>
              <w:t>超过4升的其他载人车辆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8704210000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柴油型其他小型货车,仅装有压燃式活塞内燃发动机，车辆总重量不超过5吨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8704223000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柴油型其他中型货车,仅装有压燃式活塞内燃发动机，车辆总重量超过5吨但在14吨以下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8704224000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柴油型其他重型货车,仅装有压燃式活塞内燃发动机，车辆总重量在14吨及以上但不超过20吨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8704230090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柴油型的其他超重型货车，仅装有压燃式活塞内燃发动机，车辆总重量超过20吨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8704310000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车辆总重量不超过5吨的其他货车，汽油型，仅装有点燃式活塞内燃发动机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8704323000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车辆总重量超过5吨但不超过８吨的其他货车，汽油型，仅装有点燃式活塞内燃发动机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8704324000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车辆总重量超过8吨的其他货车，汽油型，仅装有点燃式活塞内燃发动机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8704410000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sz w:val="21"/>
                <w:szCs w:val="21"/>
                <w:highlight w:val="none"/>
              </w:rPr>
              <w:t>同时装有压燃式活塞内燃发动机（柴油或半柴油发动机）及驱动电动机的其他货车,车辆总重量不超过5吨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3"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8704421000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sz w:val="21"/>
                <w:szCs w:val="21"/>
                <w:highlight w:val="none"/>
              </w:rPr>
              <w:t>同时装有压燃式活塞内燃发动机（柴油或半柴油发动机）及驱动电动机的其他货车,车辆总重量超过5吨，但小于14吨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9"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8704422000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同时装有压燃式活塞内燃发动机（柴油或半柴油发动机）及驱动电动机的其他货车,车辆总重量在14吨及以上，但不超过20吨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8704430090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同时装有压燃式活塞内燃发动机（柴油或半柴油发动机）及驱动电动机的其他货车,车辆总重量超过20吨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sz w:val="21"/>
                <w:szCs w:val="21"/>
                <w:highlight w:val="none"/>
              </w:rPr>
              <w:t>8704510000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车辆总重量不超过5吨的其他货车，汽油型，同时装有点燃式活塞内燃发动机及驱动电动机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sz w:val="21"/>
                <w:szCs w:val="21"/>
                <w:highlight w:val="none"/>
              </w:rPr>
              <w:t>8704521000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车辆总重量超过5吨但不超过８吨的其他货车，汽油型，同时装有点燃式活塞内燃发动机及驱动电动机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3"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sz w:val="21"/>
                <w:szCs w:val="21"/>
                <w:highlight w:val="none"/>
              </w:rPr>
            </w:pPr>
            <w:r>
              <w:rPr>
                <w:rFonts w:hint="default" w:ascii="LinTimes" w:hAnsi="LinTimes" w:eastAsia="宋体" w:cs="LinTimes"/>
                <w:color w:val="auto"/>
                <w:sz w:val="21"/>
                <w:szCs w:val="21"/>
                <w:highlight w:val="none"/>
              </w:rPr>
              <w:t>8704522000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color w:val="auto"/>
                <w:sz w:val="21"/>
                <w:szCs w:val="21"/>
                <w:highlight w:val="none"/>
              </w:rPr>
            </w:pPr>
            <w:r>
              <w:rPr>
                <w:rFonts w:hint="default" w:ascii="LinTimes" w:hAnsi="LinTimes" w:eastAsia="宋体" w:cs="LinTimes"/>
                <w:color w:val="auto"/>
                <w:kern w:val="0"/>
                <w:sz w:val="21"/>
                <w:szCs w:val="21"/>
                <w:highlight w:val="none"/>
              </w:rPr>
              <w:t>车辆总重量超过8吨的其他货车，汽油型，同时装有点燃式活塞内燃发动机及驱动电动机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6"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8704600000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top"/>
              <w:rPr>
                <w:rFonts w:ascii="LinTimes" w:hAnsi="LinTimes" w:eastAsia="宋体" w:cs="LinTimes"/>
                <w:strike/>
                <w:dstrike w:val="0"/>
                <w:color w:val="auto"/>
                <w:sz w:val="21"/>
                <w:szCs w:val="21"/>
                <w:highlight w:val="none"/>
              </w:rPr>
            </w:pPr>
            <w:r>
              <w:rPr>
                <w:rFonts w:hint="default" w:ascii="LinTimes" w:hAnsi="LinTimes" w:eastAsia="宋体" w:cs="LinTimes"/>
                <w:color w:val="auto"/>
                <w:kern w:val="0"/>
                <w:sz w:val="21"/>
                <w:szCs w:val="21"/>
                <w:highlight w:val="none"/>
              </w:rPr>
              <w:t>仅装有驱动电动机的其他货车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exact"/>
          <w:jc w:val="center"/>
        </w:trPr>
        <w:tc>
          <w:tcPr>
            <w:tcW w:w="16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default" w:ascii="LinTimes" w:hAnsi="LinTimes" w:eastAsia="宋体" w:cs="LinTimes"/>
                <w:color w:val="auto"/>
                <w:kern w:val="0"/>
                <w:sz w:val="21"/>
                <w:szCs w:val="21"/>
                <w:highlight w:val="none"/>
              </w:rPr>
            </w:pPr>
            <w:r>
              <w:rPr>
                <w:rFonts w:hint="default" w:ascii="LinTimes" w:hAnsi="LinTimes" w:eastAsia="宋体" w:cs="LinTimes"/>
                <w:color w:val="auto"/>
                <w:kern w:val="0"/>
                <w:sz w:val="21"/>
                <w:szCs w:val="21"/>
                <w:highlight w:val="none"/>
              </w:rPr>
              <w:t>8704900000</w:t>
            </w:r>
          </w:p>
        </w:tc>
        <w:tc>
          <w:tcPr>
            <w:tcW w:w="8424" w:type="dxa"/>
            <w:tcBorders>
              <w:top w:val="single" w:color="000000" w:sz="4" w:space="0"/>
              <w:left w:val="single" w:color="000000" w:sz="4" w:space="0"/>
              <w:bottom w:val="single" w:color="000000" w:sz="4" w:space="0"/>
              <w:right w:val="single" w:color="000000" w:sz="4" w:space="0"/>
            </w:tcBorders>
            <w:noWrap w:val="0"/>
            <w:vAlign w:val="center"/>
          </w:tcPr>
          <w:p>
            <w:pPr>
              <w:rPr>
                <w:rFonts w:ascii="LinTimes" w:hAnsi="LinTimes" w:cs="LinTimes"/>
                <w:color w:val="auto"/>
                <w:highlight w:val="none"/>
              </w:rPr>
            </w:pPr>
            <w:r>
              <w:rPr>
                <w:rFonts w:hint="default" w:ascii="LinTimes" w:hAnsi="LinTimes" w:eastAsia="宋体" w:cs="LinTimes"/>
                <w:color w:val="auto"/>
                <w:kern w:val="0"/>
                <w:sz w:val="21"/>
                <w:szCs w:val="21"/>
                <w:highlight w:val="none"/>
              </w:rPr>
              <w:t>其他货运机动车辆</w:t>
            </w:r>
          </w:p>
          <w:p>
            <w:pPr>
              <w:widowControl/>
              <w:spacing w:line="260" w:lineRule="exact"/>
              <w:textAlignment w:val="top"/>
              <w:rPr>
                <w:rFonts w:hint="default" w:ascii="LinTimes" w:hAnsi="LinTimes" w:eastAsia="宋体" w:cs="LinTimes"/>
                <w:color w:val="auto"/>
                <w:kern w:val="0"/>
                <w:sz w:val="21"/>
                <w:szCs w:val="21"/>
                <w:highlight w:val="none"/>
              </w:rPr>
            </w:pPr>
          </w:p>
        </w:tc>
      </w:tr>
    </w:tbl>
    <w:p>
      <w:pPr>
        <w:spacing w:line="240" w:lineRule="exact"/>
        <w:rPr>
          <w:rFonts w:hint="default" w:ascii="LinTimes" w:hAnsi="LinTimes" w:eastAsia="宋体" w:cs="LinTimes"/>
          <w:sz w:val="21"/>
          <w:szCs w:val="21"/>
          <w:lang w:eastAsia="zh-CN"/>
        </w:rPr>
      </w:pPr>
    </w:p>
    <w:p>
      <w:pPr>
        <w:tabs>
          <w:tab w:val="left" w:pos="9984"/>
        </w:tabs>
        <w:spacing w:line="600" w:lineRule="exact"/>
      </w:pPr>
      <w:r>
        <w:rPr>
          <w:rFonts w:hint="default" w:ascii="LinTimes" w:hAnsi="LinTimes" w:cs="LinTimes"/>
          <w:sz w:val="32"/>
          <w:szCs w:val="32"/>
          <w:lang w:eastAsia="zh-CN"/>
        </w:rPr>
        <w:tab/>
      </w:r>
    </w:p>
    <w:p/>
    <w:sectPr>
      <w:footerReference r:id="rId3" w:type="default"/>
      <w:pgSz w:w="11906" w:h="16838"/>
      <w:pgMar w:top="1984" w:right="1587" w:bottom="1984" w:left="1587" w:header="851" w:footer="1191" w:gutter="0"/>
      <w:pgBorders>
        <w:top w:val="none" w:sz="0" w:space="0"/>
        <w:left w:val="none" w:sz="0" w:space="0"/>
        <w:bottom w:val="none" w:sz="0" w:space="0"/>
        <w:right w:val="none" w:sz="0" w:space="0"/>
      </w:pgBorders>
      <w:pgNumType w:fmt="decimal" w:start="14"/>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DE28AE-D943-475A-9A6B-0D702879C2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inTimes">
    <w:altName w:val="Times New Roman"/>
    <w:panose1 w:val="02020603050405020304"/>
    <w:charset w:val="00"/>
    <w:family w:val="auto"/>
    <w:pitch w:val="default"/>
    <w:sig w:usb0="00000000" w:usb1="00000000" w:usb2="00000008" w:usb3="00000000" w:csb0="400001FF" w:csb1="FFFF0000"/>
    <w:embedRegular r:id="rId2" w:fontKey="{86E7B4DF-1709-4A57-8050-1580F52127AF}"/>
  </w:font>
  <w:font w:name="方正小标宋简体">
    <w:panose1 w:val="03000509000000000000"/>
    <w:charset w:val="86"/>
    <w:family w:val="auto"/>
    <w:pitch w:val="default"/>
    <w:sig w:usb0="00000001" w:usb1="080E0000" w:usb2="00000000" w:usb3="00000000" w:csb0="00040000" w:csb1="00000000"/>
    <w:embedRegular r:id="rId3" w:fontKey="{A8236CEF-701F-48C3-8253-CB7D17BC67E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MjY2NWVmOWE0OGU0ODZjZDJkOTljYTUxNTc4OTQifQ=="/>
  </w:docVars>
  <w:rsids>
    <w:rsidRoot w:val="4F5D7E72"/>
    <w:rsid w:val="13573AC8"/>
    <w:rsid w:val="4F5D7E72"/>
    <w:rsid w:val="5ACC6005"/>
    <w:rsid w:val="76E1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2024-02-18T02:46:00Z</dcterms:created>
  <dc:creator>思聪</dc:creator>
  <cp:lastModifiedBy>邱钰雯</cp:lastModifiedBy>
  <cp:lastPrinted>2024-02-26T01:08:00Z</cp:lastPrinted>
  <dcterms:modified xsi:type="dcterms:W3CDTF">2024-02-26T08:27:02Z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BC2C0C2932DD473B95083BF18B4C117A_13</vt:lpwstr>
  </property>
</Properties>
</file>