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《单用途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instrText xml:space="preserve"> HYPERLINK "http://finance.jrj.com.cn/biz/" </w:instrTex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商业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预付卡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instrText xml:space="preserve"> HYPERLINK "http://finance.jrj.com.cn/" </w:instrTex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管理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办法（试行）》</w:t>
      </w:r>
    </w:p>
    <w:p>
      <w:pP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 xml:space="preserve">                 部分内容解读</w:t>
      </w:r>
    </w:p>
    <w:p>
      <w:pP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ascii="ˎ̥" w:hAnsi="ˎ̥" w:cs="宋体"/>
          <w:color w:val="auto"/>
          <w:kern w:val="0"/>
          <w:sz w:val="32"/>
          <w:szCs w:val="32"/>
        </w:rPr>
      </w:pP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1.《办法》中的</w:t>
      </w:r>
      <w:r>
        <w:rPr>
          <w:rFonts w:ascii="ˎ̥" w:hAnsi="ˎ̥" w:cs="宋体"/>
          <w:b/>
          <w:bCs/>
          <w:color w:val="auto"/>
          <w:kern w:val="0"/>
          <w:sz w:val="32"/>
          <w:szCs w:val="32"/>
        </w:rPr>
        <w:t>单用途</w:t>
      </w: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eastAsia="zh-CN"/>
        </w:rPr>
        <w:t>商业预付卡</w:t>
      </w:r>
      <w:r>
        <w:rPr>
          <w:rFonts w:ascii="ˎ̥" w:hAnsi="ˎ̥" w:cs="宋体"/>
          <w:b/>
          <w:bCs/>
          <w:color w:val="auto"/>
          <w:kern w:val="0"/>
          <w:sz w:val="32"/>
          <w:szCs w:val="32"/>
        </w:rPr>
        <w:t>定义</w:t>
      </w: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ascii="ˎ̥" w:hAnsi="ˎ̥" w:cs="宋体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ˎ̥" w:hAnsi="ˎ̥" w:cs="宋体"/>
          <w:color w:val="auto"/>
          <w:kern w:val="0"/>
          <w:sz w:val="32"/>
          <w:szCs w:val="32"/>
        </w:rPr>
        <w:t>　　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 xml:space="preserve">《办法》明确了单用途商业预付卡的定义，包括四个方面属性：一是发行主体是从事特定行业的企业，即从事零售业、住宿和餐饮业、居民服务业的企业法人（不包括教育、旅游、健身类企业和个体工商户）；二是使用限于特定范围，即在本企业或本企业所属集团或同一品牌特许经营体系内；三是性质上明确其为一种预付凭证；四是形式上不限载体，包括实体卡和虚拟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ˎ̥" w:hAnsi="ˎ̥" w:cs="宋体"/>
          <w:color w:val="auto"/>
          <w:kern w:val="0"/>
          <w:sz w:val="32"/>
          <w:szCs w:val="32"/>
        </w:rPr>
      </w:pPr>
      <w:r>
        <w:rPr>
          <w:rFonts w:ascii="ˎ̥" w:hAnsi="ˎ̥" w:cs="宋体"/>
          <w:color w:val="auto"/>
          <w:kern w:val="0"/>
          <w:sz w:val="32"/>
          <w:szCs w:val="32"/>
        </w:rPr>
        <w:t>　　</w:t>
      </w: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val="en-US" w:eastAsia="zh-CN"/>
        </w:rPr>
        <w:t>2.《办法》中的</w:t>
      </w: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eastAsia="zh-CN"/>
        </w:rPr>
        <w:t>备案企业划分。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《办法》将发卡企业详细划分为规模发卡企业、集团发卡企业、品牌发卡企业和其他发卡企业四类。企业备案首先要区分出发卡企业和售卡企业。发卡企业负责备案，管理预收资金，售卡企业只承担销售，不拥有预收资金所有权。发卡企业是集团的母公司或品牌的授权方，而售卡企业是集团的子公司或品牌的被授予方。售卡企业必须隶属集团或统一品牌连锁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ˎ̥" w:hAnsi="ˎ̥" w:cs="宋体"/>
          <w:color w:val="auto"/>
          <w:kern w:val="0"/>
          <w:sz w:val="32"/>
          <w:szCs w:val="32"/>
        </w:rPr>
      </w:pP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3.《办法》中规定的</w:t>
      </w:r>
      <w:r>
        <w:rPr>
          <w:rFonts w:ascii="ˎ̥" w:hAnsi="ˎ̥" w:cs="宋体"/>
          <w:b/>
          <w:bCs/>
          <w:color w:val="auto"/>
          <w:kern w:val="0"/>
          <w:sz w:val="32"/>
          <w:szCs w:val="32"/>
        </w:rPr>
        <w:t>备案制度</w:t>
      </w:r>
      <w:r>
        <w:rPr>
          <w:rFonts w:hint="eastAsia" w:ascii="ˎ̥" w:hAnsi="ˎ̥" w:cs="宋体"/>
          <w:b/>
          <w:bCs/>
          <w:color w:val="auto"/>
          <w:kern w:val="0"/>
          <w:sz w:val="32"/>
          <w:szCs w:val="32"/>
          <w:lang w:eastAsia="zh-CN"/>
        </w:rPr>
        <w:t>以及我市的备案地点。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根据属地管理、分类监管的原则，《办法》分别明确了各类发卡企业的备案机关、需提供的材料和备案变更等问题。对于规模发卡企业、品牌发卡企业和集团发卡企业，要求其提供财务状况等信息，以便备案机关对其进行风险监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规模发卡企业、集团发卡企业、品牌发卡企业备案时由商务部预付卡业务信息系统生成备案号，并纳入信息系统监管。其他发卡企业由区级商务部门自行编号管理。</w:t>
      </w:r>
    </w:p>
    <w:p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 xml:space="preserve">    本市集团发卡企业、品牌发卡企业备案在北京市商务委员会，备案地点位于市政府行政办事大厅（六里桥西南角）三层。规模发卡企业、其他发卡企业备案在各区商务委员会，备案地点由各区商务部门自行指定。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748AA"/>
    <w:rsid w:val="455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2018-03-01T06:03:00Z</dcterms:created>
  <dc:creator>大朱</dc:creator>
  <cp:lastModifiedBy>大朱</cp:lastModifiedBy>
  <dcterms:modified xsi:type="dcterms:W3CDTF">2018-03-01T06:03:41Z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