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snapToGrid w:val="0"/>
        <w:spacing w:line="560" w:lineRule="exact"/>
        <w:rPr>
          <w:rFonts w:ascii="方正小标宋简体" w:hAnsi="方正小标宋简体" w:eastAsia="方正小标宋简体"/>
          <w:color w:val="auto"/>
          <w:sz w:val="44"/>
          <w:szCs w:val="44"/>
          <w:highlight w:val="none"/>
        </w:rPr>
      </w:pPr>
    </w:p>
    <w:p>
      <w:pPr>
        <w:snapToGrid w:val="0"/>
        <w:spacing w:line="560" w:lineRule="exact"/>
        <w:jc w:val="center"/>
        <w:rPr>
          <w:rFonts w:hint="eastAsia" w:ascii="方正小标宋简体" w:hAnsi="方正小标宋简体" w:eastAsia="方正小标宋简体"/>
          <w:color w:val="auto"/>
          <w:sz w:val="44"/>
          <w:szCs w:val="44"/>
          <w:highlight w:val="none"/>
        </w:rPr>
      </w:pPr>
      <w:r>
        <w:rPr>
          <w:rFonts w:hint="eastAsia" w:ascii="方正小标宋简体" w:hAnsi="方正小标宋简体" w:eastAsia="方正小标宋简体"/>
          <w:color w:val="auto"/>
          <w:sz w:val="44"/>
          <w:szCs w:val="44"/>
          <w:highlight w:val="none"/>
        </w:rPr>
        <w:t>中国（北京）自由贸易试验区条例</w:t>
      </w:r>
    </w:p>
    <w:p>
      <w:pPr>
        <w:snapToGrid w:val="0"/>
        <w:spacing w:line="560" w:lineRule="exact"/>
        <w:jc w:val="center"/>
        <w:rPr>
          <w:rFonts w:hint="eastAsia" w:ascii="方正小标宋简体" w:hAnsi="方正小标宋简体" w:eastAsia="方正小标宋简体"/>
          <w:color w:val="auto"/>
          <w:sz w:val="44"/>
          <w:szCs w:val="44"/>
          <w:highlight w:val="none"/>
        </w:rPr>
      </w:pPr>
      <w:r>
        <w:rPr>
          <w:rFonts w:hint="eastAsia" w:ascii="方正小标宋简体" w:hAnsi="方正小标宋简体" w:eastAsia="方正小标宋简体"/>
          <w:color w:val="auto"/>
          <w:sz w:val="44"/>
          <w:szCs w:val="44"/>
          <w:highlight w:val="none"/>
        </w:rPr>
        <w:t>（</w:t>
      </w:r>
      <w:r>
        <w:rPr>
          <w:rFonts w:hint="eastAsia" w:ascii="方正小标宋简体" w:hAnsi="方正小标宋简体" w:eastAsia="方正小标宋简体"/>
          <w:color w:val="auto"/>
          <w:sz w:val="44"/>
          <w:szCs w:val="44"/>
          <w:highlight w:val="none"/>
          <w:lang w:eastAsia="zh-CN"/>
        </w:rPr>
        <w:t>征求意见</w:t>
      </w:r>
      <w:r>
        <w:rPr>
          <w:rFonts w:hint="eastAsia" w:ascii="方正小标宋简体" w:hAnsi="方正小标宋简体" w:eastAsia="方正小标宋简体"/>
          <w:color w:val="auto"/>
          <w:sz w:val="44"/>
          <w:szCs w:val="44"/>
          <w:highlight w:val="none"/>
        </w:rPr>
        <w:t>稿）</w:t>
      </w:r>
    </w:p>
    <w:p>
      <w:pPr>
        <w:snapToGrid w:val="0"/>
        <w:spacing w:line="560" w:lineRule="exact"/>
        <w:jc w:val="center"/>
        <w:rPr>
          <w:rFonts w:ascii="方正小标宋简体" w:hAnsi="方正小标宋简体" w:eastAsia="方正小标宋简体"/>
          <w:color w:val="auto"/>
          <w:sz w:val="22"/>
          <w:highlight w:val="none"/>
        </w:rPr>
      </w:pPr>
    </w:p>
    <w:p>
      <w:pPr>
        <w:snapToGrid w:val="0"/>
        <w:spacing w:line="560" w:lineRule="exact"/>
        <w:jc w:val="left"/>
        <w:rPr>
          <w:rFonts w:ascii="仿宋_GB2312" w:hAnsi="微软雅黑"/>
          <w:color w:val="auto"/>
          <w:sz w:val="22"/>
          <w:highlight w:val="none"/>
        </w:rPr>
      </w:pPr>
    </w:p>
    <w:p>
      <w:pPr>
        <w:spacing w:line="560" w:lineRule="exact"/>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目 录</w:t>
      </w:r>
    </w:p>
    <w:p>
      <w:pPr>
        <w:pStyle w:val="5"/>
        <w:spacing w:line="560" w:lineRule="exact"/>
        <w:ind w:firstLine="420" w:firstLineChars="200"/>
        <w:rPr>
          <w:rFonts w:ascii="仿宋_GB2312"/>
          <w:color w:val="0000FF"/>
          <w:sz w:val="32"/>
          <w:szCs w:val="32"/>
          <w:highlight w:val="none"/>
        </w:rPr>
      </w:pPr>
      <w:r>
        <w:rPr>
          <w:rFonts w:hint="eastAsia" w:ascii="仿宋_GB2312"/>
          <w:color w:val="0000FF"/>
          <w:highlight w:val="none"/>
        </w:rPr>
        <w:fldChar w:fldCharType="begin"/>
      </w:r>
      <w:r>
        <w:rPr>
          <w:rFonts w:hint="eastAsia" w:ascii="仿宋_GB2312"/>
          <w:color w:val="0000FF"/>
          <w:highlight w:val="none"/>
        </w:rPr>
        <w:instrText xml:space="preserve"> TOC \o "1-3" \h \z \u </w:instrText>
      </w:r>
      <w:r>
        <w:rPr>
          <w:rFonts w:hint="eastAsia" w:ascii="仿宋_GB2312"/>
          <w:color w:val="0000FF"/>
          <w:highlight w:val="none"/>
        </w:rPr>
        <w:fldChar w:fldCharType="separate"/>
      </w:r>
      <w:r>
        <w:rPr>
          <w:color w:val="0000FF"/>
          <w:highlight w:val="none"/>
        </w:rPr>
        <w:fldChar w:fldCharType="begin"/>
      </w:r>
      <w:r>
        <w:rPr>
          <w:color w:val="0000FF"/>
          <w:highlight w:val="none"/>
        </w:rPr>
        <w:instrText xml:space="preserve"> HYPERLINK \l "_Toc79312583" </w:instrText>
      </w:r>
      <w:r>
        <w:rPr>
          <w:color w:val="0000FF"/>
          <w:highlight w:val="none"/>
        </w:rPr>
        <w:fldChar w:fldCharType="separate"/>
      </w:r>
      <w:r>
        <w:rPr>
          <w:rStyle w:val="12"/>
          <w:rFonts w:hint="eastAsia" w:ascii="仿宋_GB2312" w:hAnsi="黑体"/>
          <w:color w:val="0000FF"/>
          <w:sz w:val="32"/>
          <w:szCs w:val="32"/>
          <w:highlight w:val="none"/>
        </w:rPr>
        <w:t>第一章 总则</w:t>
      </w:r>
      <w:r>
        <w:rPr>
          <w:rStyle w:val="12"/>
          <w:rFonts w:hint="eastAsia" w:ascii="仿宋_GB2312" w:hAnsi="黑体"/>
          <w:color w:val="0000FF"/>
          <w:sz w:val="32"/>
          <w:szCs w:val="32"/>
          <w:highlight w:val="none"/>
        </w:rPr>
        <w:fldChar w:fldCharType="end"/>
      </w:r>
    </w:p>
    <w:p>
      <w:pPr>
        <w:pStyle w:val="5"/>
        <w:spacing w:line="560" w:lineRule="exact"/>
        <w:ind w:firstLine="420" w:firstLineChars="200"/>
        <w:rPr>
          <w:rFonts w:ascii="仿宋_GB2312"/>
          <w:color w:val="0000FF"/>
          <w:sz w:val="32"/>
          <w:szCs w:val="32"/>
          <w:highlight w:val="none"/>
        </w:rPr>
      </w:pPr>
      <w:r>
        <w:rPr>
          <w:color w:val="0000FF"/>
          <w:highlight w:val="none"/>
        </w:rPr>
        <w:fldChar w:fldCharType="begin"/>
      </w:r>
      <w:r>
        <w:rPr>
          <w:color w:val="0000FF"/>
          <w:highlight w:val="none"/>
        </w:rPr>
        <w:instrText xml:space="preserve"> HYPERLINK \l "_Toc79312584" </w:instrText>
      </w:r>
      <w:r>
        <w:rPr>
          <w:color w:val="0000FF"/>
          <w:highlight w:val="none"/>
        </w:rPr>
        <w:fldChar w:fldCharType="separate"/>
      </w:r>
      <w:r>
        <w:rPr>
          <w:rStyle w:val="12"/>
          <w:rFonts w:hint="eastAsia" w:ascii="仿宋_GB2312" w:hAnsi="黑体"/>
          <w:color w:val="0000FF"/>
          <w:sz w:val="32"/>
          <w:szCs w:val="32"/>
          <w:highlight w:val="none"/>
        </w:rPr>
        <w:t>第二章 管理体制</w:t>
      </w:r>
      <w:r>
        <w:rPr>
          <w:rStyle w:val="12"/>
          <w:rFonts w:hint="eastAsia" w:ascii="仿宋_GB2312" w:hAnsi="黑体"/>
          <w:color w:val="0000FF"/>
          <w:sz w:val="32"/>
          <w:szCs w:val="32"/>
          <w:highlight w:val="none"/>
        </w:rPr>
        <w:fldChar w:fldCharType="end"/>
      </w:r>
    </w:p>
    <w:p>
      <w:pPr>
        <w:pStyle w:val="5"/>
        <w:spacing w:line="560" w:lineRule="exact"/>
        <w:ind w:firstLine="420" w:firstLineChars="200"/>
        <w:rPr>
          <w:rFonts w:ascii="仿宋_GB2312"/>
          <w:color w:val="0000FF"/>
          <w:sz w:val="32"/>
          <w:szCs w:val="32"/>
          <w:highlight w:val="none"/>
        </w:rPr>
      </w:pPr>
      <w:r>
        <w:rPr>
          <w:color w:val="0000FF"/>
          <w:highlight w:val="none"/>
        </w:rPr>
        <w:fldChar w:fldCharType="begin"/>
      </w:r>
      <w:r>
        <w:rPr>
          <w:color w:val="0000FF"/>
          <w:highlight w:val="none"/>
        </w:rPr>
        <w:instrText xml:space="preserve"> HYPERLINK \l "_Toc79312585" </w:instrText>
      </w:r>
      <w:r>
        <w:rPr>
          <w:color w:val="0000FF"/>
          <w:highlight w:val="none"/>
        </w:rPr>
        <w:fldChar w:fldCharType="separate"/>
      </w:r>
      <w:r>
        <w:rPr>
          <w:rStyle w:val="12"/>
          <w:rFonts w:hint="eastAsia" w:ascii="仿宋_GB2312" w:hAnsi="黑体"/>
          <w:color w:val="0000FF"/>
          <w:sz w:val="32"/>
          <w:szCs w:val="32"/>
          <w:highlight w:val="none"/>
        </w:rPr>
        <w:t>第三章 投资开放与贸易便利</w:t>
      </w:r>
      <w:r>
        <w:rPr>
          <w:rStyle w:val="12"/>
          <w:rFonts w:hint="eastAsia" w:ascii="仿宋_GB2312" w:hAnsi="黑体"/>
          <w:color w:val="0000FF"/>
          <w:sz w:val="32"/>
          <w:szCs w:val="32"/>
          <w:highlight w:val="none"/>
        </w:rPr>
        <w:fldChar w:fldCharType="end"/>
      </w:r>
    </w:p>
    <w:p>
      <w:pPr>
        <w:pStyle w:val="5"/>
        <w:spacing w:line="560" w:lineRule="exact"/>
        <w:ind w:firstLine="420" w:firstLineChars="200"/>
        <w:rPr>
          <w:rFonts w:ascii="仿宋_GB2312"/>
          <w:color w:val="0000FF"/>
          <w:sz w:val="32"/>
          <w:szCs w:val="32"/>
          <w:highlight w:val="none"/>
        </w:rPr>
      </w:pPr>
      <w:r>
        <w:rPr>
          <w:color w:val="0000FF"/>
          <w:highlight w:val="none"/>
        </w:rPr>
        <w:fldChar w:fldCharType="begin"/>
      </w:r>
      <w:r>
        <w:rPr>
          <w:color w:val="0000FF"/>
          <w:highlight w:val="none"/>
        </w:rPr>
        <w:instrText xml:space="preserve"> HYPERLINK \l "_Toc79312587" </w:instrText>
      </w:r>
      <w:r>
        <w:rPr>
          <w:color w:val="0000FF"/>
          <w:highlight w:val="none"/>
        </w:rPr>
        <w:fldChar w:fldCharType="separate"/>
      </w:r>
      <w:r>
        <w:rPr>
          <w:rStyle w:val="12"/>
          <w:rFonts w:hint="eastAsia" w:ascii="仿宋_GB2312" w:hAnsi="黑体"/>
          <w:color w:val="0000FF"/>
          <w:sz w:val="32"/>
          <w:szCs w:val="32"/>
          <w:highlight w:val="none"/>
        </w:rPr>
        <w:t>第四章 科技创新</w:t>
      </w:r>
      <w:r>
        <w:rPr>
          <w:rStyle w:val="12"/>
          <w:rFonts w:hint="eastAsia" w:ascii="仿宋_GB2312" w:hAnsi="黑体"/>
          <w:color w:val="0000FF"/>
          <w:sz w:val="32"/>
          <w:szCs w:val="32"/>
          <w:highlight w:val="none"/>
        </w:rPr>
        <w:fldChar w:fldCharType="end"/>
      </w:r>
    </w:p>
    <w:p>
      <w:pPr>
        <w:pStyle w:val="5"/>
        <w:spacing w:line="560" w:lineRule="exact"/>
        <w:ind w:firstLine="420" w:firstLineChars="200"/>
        <w:rPr>
          <w:color w:val="0000FF"/>
          <w:highlight w:val="none"/>
        </w:rPr>
      </w:pPr>
      <w:r>
        <w:rPr>
          <w:color w:val="0000FF"/>
          <w:highlight w:val="none"/>
        </w:rPr>
        <w:fldChar w:fldCharType="begin"/>
      </w:r>
      <w:r>
        <w:rPr>
          <w:color w:val="0000FF"/>
          <w:highlight w:val="none"/>
        </w:rPr>
        <w:instrText xml:space="preserve"> HYPERLINK \l "_Toc79312588" </w:instrText>
      </w:r>
      <w:r>
        <w:rPr>
          <w:color w:val="0000FF"/>
          <w:highlight w:val="none"/>
        </w:rPr>
        <w:fldChar w:fldCharType="separate"/>
      </w:r>
      <w:r>
        <w:rPr>
          <w:rStyle w:val="12"/>
          <w:rFonts w:hint="eastAsia" w:ascii="仿宋_GB2312" w:hAnsi="黑体"/>
          <w:color w:val="0000FF"/>
          <w:sz w:val="32"/>
          <w:szCs w:val="32"/>
          <w:highlight w:val="none"/>
        </w:rPr>
        <w:t>第五章 数字经济</w:t>
      </w:r>
      <w:r>
        <w:rPr>
          <w:rStyle w:val="12"/>
          <w:rFonts w:hint="eastAsia" w:ascii="仿宋_GB2312" w:hAnsi="黑体"/>
          <w:color w:val="0000FF"/>
          <w:sz w:val="32"/>
          <w:szCs w:val="32"/>
          <w:highlight w:val="none"/>
        </w:rPr>
        <w:fldChar w:fldCharType="end"/>
      </w:r>
    </w:p>
    <w:p>
      <w:pPr>
        <w:pStyle w:val="5"/>
        <w:spacing w:line="560" w:lineRule="exact"/>
        <w:ind w:firstLine="420" w:firstLineChars="200"/>
        <w:rPr>
          <w:color w:val="0000FF"/>
          <w:highlight w:val="none"/>
        </w:rPr>
      </w:pPr>
      <w:r>
        <w:rPr>
          <w:color w:val="0000FF"/>
          <w:highlight w:val="none"/>
        </w:rPr>
        <w:fldChar w:fldCharType="begin"/>
      </w:r>
      <w:r>
        <w:rPr>
          <w:color w:val="0000FF"/>
          <w:highlight w:val="none"/>
        </w:rPr>
        <w:instrText xml:space="preserve"> HYPERLINK \l "_Toc79312586" </w:instrText>
      </w:r>
      <w:r>
        <w:rPr>
          <w:color w:val="0000FF"/>
          <w:highlight w:val="none"/>
        </w:rPr>
        <w:fldChar w:fldCharType="separate"/>
      </w:r>
      <w:r>
        <w:rPr>
          <w:rStyle w:val="12"/>
          <w:rFonts w:hint="eastAsia" w:ascii="仿宋_GB2312" w:hAnsi="黑体"/>
          <w:color w:val="0000FF"/>
          <w:sz w:val="32"/>
          <w:szCs w:val="32"/>
          <w:highlight w:val="none"/>
        </w:rPr>
        <w:t>第六章 金融服务</w:t>
      </w:r>
      <w:r>
        <w:rPr>
          <w:rStyle w:val="12"/>
          <w:rFonts w:hint="eastAsia" w:ascii="仿宋_GB2312" w:hAnsi="黑体"/>
          <w:color w:val="0000FF"/>
          <w:sz w:val="32"/>
          <w:szCs w:val="32"/>
          <w:highlight w:val="none"/>
        </w:rPr>
        <w:fldChar w:fldCharType="end"/>
      </w:r>
    </w:p>
    <w:p>
      <w:pPr>
        <w:pStyle w:val="5"/>
        <w:spacing w:line="560" w:lineRule="exact"/>
        <w:ind w:firstLine="420" w:firstLineChars="200"/>
        <w:rPr>
          <w:rFonts w:ascii="仿宋_GB2312"/>
          <w:color w:val="0000FF"/>
          <w:sz w:val="32"/>
          <w:szCs w:val="32"/>
          <w:highlight w:val="none"/>
        </w:rPr>
      </w:pPr>
      <w:r>
        <w:rPr>
          <w:color w:val="0000FF"/>
          <w:highlight w:val="none"/>
        </w:rPr>
        <w:fldChar w:fldCharType="begin"/>
      </w:r>
      <w:r>
        <w:rPr>
          <w:color w:val="0000FF"/>
          <w:highlight w:val="none"/>
        </w:rPr>
        <w:instrText xml:space="preserve"> HYPERLINK \l "_Toc79312589" </w:instrText>
      </w:r>
      <w:r>
        <w:rPr>
          <w:color w:val="0000FF"/>
          <w:highlight w:val="none"/>
        </w:rPr>
        <w:fldChar w:fldCharType="separate"/>
      </w:r>
      <w:r>
        <w:rPr>
          <w:rStyle w:val="12"/>
          <w:rFonts w:hint="eastAsia" w:ascii="仿宋_GB2312" w:hAnsi="黑体"/>
          <w:color w:val="0000FF"/>
          <w:sz w:val="32"/>
          <w:szCs w:val="32"/>
          <w:highlight w:val="none"/>
        </w:rPr>
        <w:t>第七章 优势产业开放</w:t>
      </w:r>
      <w:r>
        <w:rPr>
          <w:rStyle w:val="12"/>
          <w:rFonts w:hint="eastAsia" w:ascii="仿宋_GB2312" w:hAnsi="黑体"/>
          <w:color w:val="0000FF"/>
          <w:sz w:val="32"/>
          <w:szCs w:val="32"/>
          <w:highlight w:val="none"/>
        </w:rPr>
        <w:fldChar w:fldCharType="end"/>
      </w:r>
      <w:r>
        <w:rPr>
          <w:rStyle w:val="12"/>
          <w:rFonts w:hint="eastAsia" w:ascii="仿宋_GB2312" w:hAnsi="黑体"/>
          <w:color w:val="0000FF"/>
          <w:sz w:val="32"/>
          <w:szCs w:val="32"/>
          <w:highlight w:val="none"/>
        </w:rPr>
        <w:t>创新</w:t>
      </w:r>
    </w:p>
    <w:p>
      <w:pPr>
        <w:pStyle w:val="5"/>
        <w:spacing w:line="560" w:lineRule="exact"/>
        <w:ind w:firstLine="420" w:firstLineChars="200"/>
        <w:rPr>
          <w:rFonts w:ascii="仿宋_GB2312"/>
          <w:color w:val="0000FF"/>
          <w:sz w:val="32"/>
          <w:szCs w:val="32"/>
          <w:highlight w:val="none"/>
        </w:rPr>
      </w:pPr>
      <w:r>
        <w:rPr>
          <w:color w:val="0000FF"/>
          <w:highlight w:val="none"/>
        </w:rPr>
        <w:fldChar w:fldCharType="begin"/>
      </w:r>
      <w:r>
        <w:rPr>
          <w:color w:val="0000FF"/>
          <w:highlight w:val="none"/>
        </w:rPr>
        <w:instrText xml:space="preserve"> HYPERLINK \l "_Toc79312590" </w:instrText>
      </w:r>
      <w:r>
        <w:rPr>
          <w:color w:val="0000FF"/>
          <w:highlight w:val="none"/>
        </w:rPr>
        <w:fldChar w:fldCharType="separate"/>
      </w:r>
      <w:r>
        <w:rPr>
          <w:rStyle w:val="12"/>
          <w:rFonts w:hint="eastAsia" w:ascii="仿宋_GB2312" w:hAnsi="黑体"/>
          <w:color w:val="0000FF"/>
          <w:sz w:val="32"/>
          <w:szCs w:val="32"/>
          <w:highlight w:val="none"/>
        </w:rPr>
        <w:t>第八章 京津冀协同</w:t>
      </w:r>
      <w:r>
        <w:rPr>
          <w:rStyle w:val="12"/>
          <w:rFonts w:hint="eastAsia" w:ascii="仿宋_GB2312" w:hAnsi="黑体"/>
          <w:color w:val="0000FF"/>
          <w:sz w:val="32"/>
          <w:szCs w:val="32"/>
          <w:highlight w:val="none"/>
        </w:rPr>
        <w:fldChar w:fldCharType="end"/>
      </w:r>
    </w:p>
    <w:p>
      <w:pPr>
        <w:pStyle w:val="5"/>
        <w:spacing w:line="560" w:lineRule="exact"/>
        <w:ind w:firstLine="420" w:firstLineChars="200"/>
        <w:rPr>
          <w:rFonts w:ascii="仿宋_GB2312"/>
          <w:color w:val="0000FF"/>
          <w:sz w:val="32"/>
          <w:szCs w:val="32"/>
          <w:highlight w:val="none"/>
        </w:rPr>
      </w:pPr>
      <w:r>
        <w:rPr>
          <w:color w:val="0000FF"/>
          <w:highlight w:val="none"/>
        </w:rPr>
        <w:fldChar w:fldCharType="begin"/>
      </w:r>
      <w:r>
        <w:rPr>
          <w:color w:val="0000FF"/>
          <w:highlight w:val="none"/>
        </w:rPr>
        <w:instrText xml:space="preserve"> HYPERLINK \l "_Toc79312591" </w:instrText>
      </w:r>
      <w:r>
        <w:rPr>
          <w:color w:val="0000FF"/>
          <w:highlight w:val="none"/>
        </w:rPr>
        <w:fldChar w:fldCharType="separate"/>
      </w:r>
      <w:r>
        <w:rPr>
          <w:rStyle w:val="12"/>
          <w:rFonts w:hint="eastAsia" w:ascii="仿宋_GB2312" w:hAnsi="黑体"/>
          <w:color w:val="0000FF"/>
          <w:sz w:val="32"/>
          <w:szCs w:val="32"/>
          <w:highlight w:val="none"/>
        </w:rPr>
        <w:t>第九章 政府服务与保障</w:t>
      </w:r>
      <w:r>
        <w:rPr>
          <w:rStyle w:val="12"/>
          <w:rFonts w:hint="eastAsia" w:ascii="仿宋_GB2312" w:hAnsi="黑体"/>
          <w:color w:val="0000FF"/>
          <w:sz w:val="32"/>
          <w:szCs w:val="32"/>
          <w:highlight w:val="none"/>
        </w:rPr>
        <w:fldChar w:fldCharType="end"/>
      </w:r>
    </w:p>
    <w:p>
      <w:pPr>
        <w:pStyle w:val="5"/>
        <w:spacing w:line="560" w:lineRule="exact"/>
        <w:ind w:firstLine="420" w:firstLineChars="200"/>
        <w:rPr>
          <w:rFonts w:ascii="仿宋_GB2312"/>
          <w:color w:val="0000FF"/>
          <w:sz w:val="32"/>
          <w:szCs w:val="32"/>
          <w:highlight w:val="none"/>
        </w:rPr>
      </w:pPr>
      <w:r>
        <w:rPr>
          <w:color w:val="0000FF"/>
          <w:highlight w:val="none"/>
        </w:rPr>
        <w:fldChar w:fldCharType="begin"/>
      </w:r>
      <w:r>
        <w:rPr>
          <w:color w:val="0000FF"/>
          <w:highlight w:val="none"/>
        </w:rPr>
        <w:instrText xml:space="preserve"> HYPERLINK \l "_Toc79312592" </w:instrText>
      </w:r>
      <w:r>
        <w:rPr>
          <w:color w:val="0000FF"/>
          <w:highlight w:val="none"/>
        </w:rPr>
        <w:fldChar w:fldCharType="separate"/>
      </w:r>
      <w:r>
        <w:rPr>
          <w:rStyle w:val="12"/>
          <w:rFonts w:hint="eastAsia" w:ascii="仿宋_GB2312" w:hAnsi="黑体"/>
          <w:color w:val="0000FF"/>
          <w:sz w:val="32"/>
          <w:szCs w:val="32"/>
          <w:highlight w:val="none"/>
        </w:rPr>
        <w:t>第十章 人才保障</w:t>
      </w:r>
      <w:r>
        <w:rPr>
          <w:rStyle w:val="12"/>
          <w:rFonts w:hint="eastAsia" w:ascii="仿宋_GB2312" w:hAnsi="黑体"/>
          <w:color w:val="0000FF"/>
          <w:sz w:val="32"/>
          <w:szCs w:val="32"/>
          <w:highlight w:val="none"/>
        </w:rPr>
        <w:fldChar w:fldCharType="end"/>
      </w:r>
    </w:p>
    <w:p>
      <w:pPr>
        <w:pStyle w:val="5"/>
        <w:spacing w:line="560" w:lineRule="exact"/>
        <w:ind w:firstLine="420" w:firstLineChars="200"/>
        <w:rPr>
          <w:rFonts w:ascii="仿宋_GB2312"/>
          <w:color w:val="0000FF"/>
          <w:sz w:val="32"/>
          <w:szCs w:val="32"/>
          <w:highlight w:val="none"/>
        </w:rPr>
      </w:pPr>
      <w:r>
        <w:rPr>
          <w:color w:val="0000FF"/>
          <w:highlight w:val="none"/>
        </w:rPr>
        <w:fldChar w:fldCharType="begin"/>
      </w:r>
      <w:r>
        <w:rPr>
          <w:color w:val="0000FF"/>
          <w:highlight w:val="none"/>
        </w:rPr>
        <w:instrText xml:space="preserve"> HYPERLINK \l "_Toc79312593" </w:instrText>
      </w:r>
      <w:r>
        <w:rPr>
          <w:color w:val="0000FF"/>
          <w:highlight w:val="none"/>
        </w:rPr>
        <w:fldChar w:fldCharType="separate"/>
      </w:r>
      <w:r>
        <w:rPr>
          <w:rStyle w:val="12"/>
          <w:rFonts w:hint="eastAsia" w:ascii="仿宋_GB2312" w:hAnsi="黑体"/>
          <w:color w:val="0000FF"/>
          <w:sz w:val="32"/>
          <w:szCs w:val="32"/>
          <w:highlight w:val="none"/>
        </w:rPr>
        <w:t>第十一章 附则</w:t>
      </w:r>
      <w:r>
        <w:rPr>
          <w:rStyle w:val="12"/>
          <w:rFonts w:hint="eastAsia" w:ascii="仿宋_GB2312" w:hAnsi="黑体"/>
          <w:color w:val="0000FF"/>
          <w:sz w:val="32"/>
          <w:szCs w:val="32"/>
          <w:highlight w:val="none"/>
        </w:rPr>
        <w:fldChar w:fldCharType="end"/>
      </w:r>
    </w:p>
    <w:p>
      <w:pPr>
        <w:spacing w:line="560" w:lineRule="exact"/>
        <w:rPr>
          <w:rFonts w:ascii="仿宋_GB2312" w:hAnsi="微软雅黑"/>
          <w:color w:val="auto"/>
          <w:sz w:val="22"/>
          <w:highlight w:val="none"/>
        </w:rPr>
      </w:pPr>
      <w:r>
        <w:rPr>
          <w:rFonts w:hint="eastAsia" w:ascii="仿宋_GB2312"/>
          <w:b/>
          <w:bCs/>
          <w:color w:val="0000FF"/>
          <w:highlight w:val="none"/>
          <w:lang w:val="zh-CN"/>
        </w:rPr>
        <w:fldChar w:fldCharType="end"/>
      </w:r>
    </w:p>
    <w:p>
      <w:pPr>
        <w:pStyle w:val="2"/>
        <w:spacing w:line="560" w:lineRule="exact"/>
        <w:rPr>
          <w:bCs w:val="0"/>
          <w:color w:val="auto"/>
          <w:kern w:val="2"/>
          <w:highlight w:val="none"/>
        </w:rPr>
      </w:pPr>
      <w:bookmarkStart w:id="0" w:name="_Toc79312583"/>
    </w:p>
    <w:p>
      <w:pPr>
        <w:pStyle w:val="2"/>
        <w:spacing w:line="560" w:lineRule="exact"/>
        <w:rPr>
          <w:bCs w:val="0"/>
          <w:color w:val="auto"/>
          <w:kern w:val="2"/>
          <w:highlight w:val="none"/>
        </w:rPr>
      </w:pPr>
    </w:p>
    <w:p>
      <w:pPr>
        <w:pStyle w:val="2"/>
        <w:spacing w:line="560" w:lineRule="exact"/>
        <w:jc w:val="both"/>
        <w:rPr>
          <w:color w:val="auto"/>
          <w:highlight w:val="none"/>
        </w:rPr>
      </w:pPr>
    </w:p>
    <w:p>
      <w:pPr>
        <w:pStyle w:val="2"/>
        <w:spacing w:line="560" w:lineRule="exact"/>
        <w:rPr>
          <w:color w:val="auto"/>
          <w:highlight w:val="none"/>
        </w:rPr>
      </w:pPr>
      <w:r>
        <w:rPr>
          <w:rFonts w:hint="eastAsia"/>
          <w:color w:val="auto"/>
          <w:highlight w:val="none"/>
        </w:rPr>
        <w:t>第一章 总则</w:t>
      </w:r>
      <w:bookmarkEnd w:id="0"/>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立法目的】为了促进和保障中国（北京）自由贸易试验区的建设和发展，建设更高水平开放型经济新体制，把中国（北京）自由贸易试验区建设成为新时代改革开放新高地，根据国务院批准的《中国（北京）自由贸易试验区总体方案》和有关法律、行政法规，结合本市实际，制定本条例。</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【适用范围】本条例适用于经国务院批准设立的中国（北京）自由贸易试验区（以下简称自贸试验区），包括科技创新片区、国际商务服务片区、高端产业片区。</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w:t>
      </w:r>
      <w:bookmarkStart w:id="1" w:name="_Hlk80560603"/>
      <w:r>
        <w:rPr>
          <w:rFonts w:hint="eastAsia" w:ascii="仿宋_GB2312" w:hAnsi="仿宋"/>
          <w:color w:val="auto"/>
          <w:sz w:val="32"/>
          <w:szCs w:val="32"/>
          <w:highlight w:val="none"/>
        </w:rPr>
        <w:t>战略定位与发展目标</w:t>
      </w:r>
      <w:bookmarkEnd w:id="1"/>
      <w:r>
        <w:rPr>
          <w:rFonts w:hint="eastAsia" w:ascii="仿宋_GB2312" w:hAnsi="仿宋"/>
          <w:color w:val="auto"/>
          <w:sz w:val="32"/>
          <w:szCs w:val="32"/>
          <w:highlight w:val="none"/>
        </w:rPr>
        <w:t>】自贸试验区建设以制度创新为核心，以可复制可推广为基本要求，全面落实中央关于创新驱动发展战略和京津冀协同发展战略，围绕北京“四个中心”战略定位，立足提升“四个服务”水平，助力北京建设具有全球影响力的科技创新中心、国家服务业扩大开放综合示范区，构建京津冀协同发展的高水平对外开放平台，建成贸易投资便利、营商环境优异、创新生态一流、高端产业集聚、金融服务完善、国际经济交往活跃、监管安全高效、辐射带动作用突出的高标准高质量自由贸易园区。</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【功能划分】自贸试验区各片区应当根据发展定位和目标，优势互补，错位发展，加强协作，相互促进。</w:t>
      </w:r>
    </w:p>
    <w:p>
      <w:p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科技创新片区重点发展新一代信息技术、生物与健康、科技服务等产业，打造数字经济试验区、全球创业投资中心、科技体制改革先行示范区。</w:t>
      </w:r>
    </w:p>
    <w:p>
      <w:p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国际商务服务片区重点发展数字贸易、文化贸易、商务会展、医疗健康、国际寄递物流、跨境金融等产业，打造临空经济创新引领示范区。</w:t>
      </w:r>
    </w:p>
    <w:p>
      <w:p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高端产业片区重点发展商务服务、国际金融、文化创意、生物技术和大健康等产业，建设科技成果转换承载地、战略性新兴产业集聚区和国际高端功能机构集聚区。</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【鼓励创新】自贸试验区鼓励先行先试，支持制度创新，充分激发各类主体活力。法律、法规未禁止的事项，鼓励公民、法人和其他组织在自贸试验区开展改革创新活动。</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【容错机制】在自贸试验区内进行的创新未能实现预期目标，</w:t>
      </w:r>
      <w:r>
        <w:rPr>
          <w:rFonts w:hint="eastAsia" w:ascii="仿宋_GB2312" w:hAnsi="仿宋"/>
          <w:color w:val="auto"/>
          <w:sz w:val="32"/>
          <w:szCs w:val="32"/>
          <w:highlight w:val="none"/>
          <w:lang w:eastAsia="zh-CN"/>
        </w:rPr>
        <w:t>但</w:t>
      </w:r>
      <w:r>
        <w:rPr>
          <w:rFonts w:hint="eastAsia" w:ascii="仿宋_GB2312" w:hAnsi="仿宋"/>
          <w:color w:val="auto"/>
          <w:sz w:val="32"/>
          <w:szCs w:val="32"/>
          <w:highlight w:val="none"/>
        </w:rPr>
        <w:t>符合国家确定的改革方向，决策程序符合法律、法规规定，未牟取私利或者未恶意串通损害公共利益的，对有关单位和个人不做负面评价，免予追究相关责任。</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【联动创新】自贸试验区强化同国家服务业扩大开放综合示范区和中关村国家自主创新示范区的联动建设，推动改革试点任务在更大范围复制推广。</w:t>
      </w:r>
    </w:p>
    <w:p>
      <w:pPr>
        <w:snapToGrid w:val="0"/>
        <w:spacing w:line="560" w:lineRule="exact"/>
        <w:rPr>
          <w:rFonts w:ascii="仿宋_GB2312" w:hAnsi="微软雅黑"/>
          <w:color w:val="auto"/>
          <w:sz w:val="22"/>
          <w:highlight w:val="none"/>
        </w:rPr>
      </w:pPr>
    </w:p>
    <w:p>
      <w:pPr>
        <w:pStyle w:val="2"/>
        <w:spacing w:line="560" w:lineRule="exact"/>
        <w:rPr>
          <w:color w:val="auto"/>
          <w:highlight w:val="none"/>
        </w:rPr>
      </w:pPr>
      <w:bookmarkStart w:id="2" w:name="_Toc79312584"/>
      <w:r>
        <w:rPr>
          <w:rFonts w:hint="eastAsia"/>
          <w:color w:val="auto"/>
          <w:highlight w:val="none"/>
        </w:rPr>
        <w:t>第二章 管理体制</w:t>
      </w:r>
      <w:bookmarkEnd w:id="2"/>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【管理体制目标】自贸试验区应当按照精简高效、权责明晰的原则，建立适应开放型经济和制度创新的管理体制，提升管理服务效能。</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【领导小组】本市设立自贸试验区市级工作领导小组，负责自贸试验区建设发展和改革创新的总体谋划、统筹协调、整体推进、督促落实。</w:t>
      </w:r>
    </w:p>
    <w:p>
      <w:pPr>
        <w:pStyle w:val="13"/>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自贸试验区所在各区、北京经济技术开发区（以下简称自贸试验区所在区）设立区级工作领导小组，负责本区自贸试验区建设发展和改革创新的总体谋划、统筹协调、整体推进、督促落实。</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【领导小组办公室】自贸试验区市级工作领导小组办公室承担领导小组日常工作，负责贯彻落实国家和本市关于自贸试验区的决策部署和工作安排，统筹推进、协调落实改革试点任务，起草拟订</w:t>
      </w:r>
      <w:r>
        <w:rPr>
          <w:rFonts w:hint="eastAsia" w:ascii="仿宋_GB2312" w:hAnsi="仿宋"/>
          <w:color w:val="auto"/>
          <w:sz w:val="32"/>
          <w:szCs w:val="32"/>
          <w:highlight w:val="none"/>
          <w:lang w:eastAsia="zh-CN"/>
        </w:rPr>
        <w:t>与自贸试验区有关的</w:t>
      </w:r>
      <w:r>
        <w:rPr>
          <w:rFonts w:hint="eastAsia" w:ascii="仿宋_GB2312" w:hAnsi="仿宋"/>
          <w:color w:val="auto"/>
          <w:sz w:val="32"/>
          <w:szCs w:val="32"/>
          <w:highlight w:val="none"/>
        </w:rPr>
        <w:t>地方性法规草案、政策、规划，开展数据统计、信息</w:t>
      </w:r>
      <w:r>
        <w:rPr>
          <w:rFonts w:hint="eastAsia" w:ascii="仿宋_GB2312" w:hAnsi="仿宋"/>
          <w:color w:val="auto"/>
          <w:sz w:val="32"/>
          <w:szCs w:val="32"/>
          <w:highlight w:val="none"/>
          <w:lang w:eastAsia="zh-CN"/>
        </w:rPr>
        <w:t>发布</w:t>
      </w:r>
      <w:r>
        <w:rPr>
          <w:rFonts w:hint="eastAsia" w:ascii="仿宋_GB2312" w:hAnsi="仿宋"/>
          <w:color w:val="auto"/>
          <w:sz w:val="32"/>
          <w:szCs w:val="32"/>
          <w:highlight w:val="none"/>
        </w:rPr>
        <w:t>、评估考核</w:t>
      </w:r>
      <w:r>
        <w:rPr>
          <w:rFonts w:hint="eastAsia" w:ascii="仿宋_GB2312" w:hAnsi="仿宋"/>
          <w:color w:val="auto"/>
          <w:sz w:val="32"/>
          <w:szCs w:val="32"/>
          <w:highlight w:val="none"/>
          <w:lang w:eastAsia="zh-CN"/>
        </w:rPr>
        <w:t>工作</w:t>
      </w:r>
      <w:r>
        <w:rPr>
          <w:rFonts w:hint="eastAsia" w:ascii="仿宋_GB2312" w:hAnsi="仿宋"/>
          <w:color w:val="auto"/>
          <w:sz w:val="32"/>
          <w:szCs w:val="32"/>
          <w:highlight w:val="none"/>
        </w:rPr>
        <w:t>。负责指导自贸试验区各片区方案制定、招商引资，协助解决跨行政区域的有关事项。</w:t>
      </w:r>
    </w:p>
    <w:p>
      <w:pPr>
        <w:pStyle w:val="13"/>
        <w:snapToGrid w:val="0"/>
        <w:spacing w:line="560" w:lineRule="exact"/>
        <w:ind w:firstLine="0" w:firstLineChars="0"/>
        <w:rPr>
          <w:rFonts w:ascii="仿宋_GB2312" w:hAnsi="微软雅黑"/>
          <w:color w:val="auto"/>
          <w:sz w:val="22"/>
          <w:highlight w:val="none"/>
        </w:rPr>
      </w:pPr>
      <w:r>
        <w:rPr>
          <w:rFonts w:hint="eastAsia" w:ascii="仿宋_GB2312" w:hAnsi="仿宋"/>
          <w:color w:val="auto"/>
          <w:sz w:val="32"/>
          <w:szCs w:val="32"/>
          <w:highlight w:val="none"/>
        </w:rPr>
        <w:t xml:space="preserve"> </w:t>
      </w:r>
      <w:r>
        <w:rPr>
          <w:rFonts w:ascii="仿宋_GB2312" w:hAnsi="仿宋"/>
          <w:color w:val="auto"/>
          <w:sz w:val="32"/>
          <w:szCs w:val="32"/>
          <w:highlight w:val="none"/>
        </w:rPr>
        <w:t xml:space="preserve">   </w:t>
      </w:r>
      <w:r>
        <w:rPr>
          <w:rFonts w:hint="eastAsia" w:ascii="仿宋_GB2312" w:hAnsi="仿宋"/>
          <w:color w:val="auto"/>
          <w:sz w:val="32"/>
          <w:szCs w:val="32"/>
          <w:highlight w:val="none"/>
        </w:rPr>
        <w:t>自贸试验区所在区工作领导小组办公室，承担区级工作领导小组日常工作，负责协调推进区内自贸试验区建设等工作。</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部门职责】市政府有关部门应当按照规定职责推动实施相关领域的制度创新和改革试点，加强与海关、边检、外汇、金融、税务等中央在京机构的沟通协调，争取上级部门授权和改革试点，支持自贸试验区改革创新。</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新型研究机构】本市设立自贸试验区研究机构，在自贸试验区建设发展战略规划、改革举措等方面开展研究，协助做好方案、规划、政策等制定工作，开展国际合作、学术交流、成效评估等业务，吸引培养国际化人才，建设高端智库。研究机构可以在组织架构、运行管理等方面进行创新探索。</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【管理机构】自贸试验区所在区应当明确区域管理机构，承担区域综合协调、开发建设、运营管理、产业发展、投资促进、企业服务等职责。</w:t>
      </w:r>
    </w:p>
    <w:p>
      <w:pPr>
        <w:spacing w:line="560" w:lineRule="exact"/>
        <w:ind w:firstLine="640" w:firstLineChars="200"/>
        <w:rPr>
          <w:rFonts w:ascii="仿宋_GB2312" w:hAnsi="微软雅黑"/>
          <w:color w:val="auto"/>
          <w:sz w:val="22"/>
          <w:highlight w:val="none"/>
        </w:rPr>
      </w:pPr>
      <w:r>
        <w:rPr>
          <w:rFonts w:hint="eastAsia" w:ascii="仿宋_GB2312" w:hAnsi="仿宋"/>
          <w:color w:val="auto"/>
          <w:sz w:val="32"/>
          <w:szCs w:val="32"/>
          <w:highlight w:val="none"/>
        </w:rPr>
        <w:t>具备条件的区域可以探索实施法定机构等管理模式。该机构根据开发、建设、管理的实际情况，</w:t>
      </w:r>
      <w:r>
        <w:rPr>
          <w:rFonts w:hint="eastAsia" w:ascii="仿宋_GB2312" w:hAnsi="仿宋"/>
          <w:color w:val="auto"/>
          <w:sz w:val="32"/>
          <w:szCs w:val="32"/>
          <w:highlight w:val="none"/>
          <w:lang w:eastAsia="zh-CN"/>
        </w:rPr>
        <w:t>依法</w:t>
      </w:r>
      <w:r>
        <w:rPr>
          <w:rFonts w:hint="eastAsia" w:ascii="仿宋_GB2312" w:hAnsi="仿宋"/>
          <w:color w:val="auto"/>
          <w:sz w:val="32"/>
          <w:szCs w:val="32"/>
          <w:highlight w:val="none"/>
        </w:rPr>
        <w:t>承接行政管理权限和公共服务职能，并向社会公布管理权限清单。该机构实行企业化管理、市场化运作，在薪酬总额范围内，自主决定机构设置、岗位设置、人员聘用、薪酬标准等，依照有关规定任命的人员除外。</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权限下放】北京市人民政府根据自贸试验区改革创新发展需要，按照规定向自贸试验区所在区人民政府或区域管理机构下放管理权限。下放管理权限应当结合各区域产业优势和功能定位实施特色化赋权，并进行动态调整。自贸试验区所在区人民政府或区域管理机构应当制定并向社会公开权责清单，并根据法律、法规、规章调整及职责任务变化情况，及时动态调整。管理权限下放的各市级部门要加强指导、协调和监督。</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【统计监测制度】本市建立健全自贸试验区统计监测制度。各有关部门应根据职责定期开展自贸试验区经济运行和制度创新等情况的指标数据统计，及时、准确报送统计数据。</w:t>
      </w:r>
    </w:p>
    <w:p>
      <w:pPr>
        <w:pStyle w:val="13"/>
        <w:snapToGrid w:val="0"/>
        <w:spacing w:line="560" w:lineRule="exact"/>
        <w:ind w:left="420" w:firstLine="0" w:firstLineChars="0"/>
        <w:rPr>
          <w:color w:val="auto"/>
          <w:highlight w:val="none"/>
        </w:rPr>
      </w:pPr>
      <w:bookmarkStart w:id="3" w:name="_Toc79312585"/>
    </w:p>
    <w:p>
      <w:pPr>
        <w:pStyle w:val="2"/>
        <w:spacing w:line="560" w:lineRule="exact"/>
        <w:rPr>
          <w:rFonts w:hAnsi="微软雅黑"/>
          <w:color w:val="auto"/>
          <w:highlight w:val="none"/>
        </w:rPr>
      </w:pPr>
      <w:r>
        <w:rPr>
          <w:rFonts w:hint="eastAsia"/>
          <w:color w:val="auto"/>
          <w:highlight w:val="none"/>
        </w:rPr>
        <w:t>第三章 投资开放与贸易便利</w:t>
      </w:r>
      <w:bookmarkEnd w:id="3"/>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【负面清单】自贸试验区依法实施外商投资准入前国民待遇加负面清单管理制度。自贸试验区负面清单之外的领域，按照内外资一致原则实施管理。外商投资企业依法平等适用国家支持企业发展的各项政策。</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自贸试验区落实跨境服务贸易负面清单，对于境外服务提供者以跨境交付、境外消费、自然人移动等模式提供服务的，按照国家有关规定执行。对负面清单之外的跨境服务贸易，按照内外一致原则</w:t>
      </w:r>
      <w:r>
        <w:rPr>
          <w:rFonts w:hint="eastAsia" w:ascii="仿宋_GB2312" w:hAnsi="仿宋"/>
          <w:color w:val="auto"/>
          <w:sz w:val="32"/>
          <w:szCs w:val="32"/>
          <w:highlight w:val="none"/>
          <w:lang w:eastAsia="zh-CN"/>
        </w:rPr>
        <w:t>实施</w:t>
      </w:r>
      <w:r>
        <w:rPr>
          <w:rFonts w:hint="eastAsia" w:ascii="仿宋_GB2312" w:hAnsi="仿宋"/>
          <w:color w:val="auto"/>
          <w:sz w:val="32"/>
          <w:szCs w:val="32"/>
          <w:highlight w:val="none"/>
        </w:rPr>
        <w:t>管理。</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w:t>
      </w:r>
      <w:r>
        <w:rPr>
          <w:rFonts w:hint="eastAsia" w:ascii="仿宋_GB2312" w:hAnsi="仿宋"/>
          <w:color w:val="auto"/>
          <w:sz w:val="32"/>
          <w:szCs w:val="32"/>
          <w:highlight w:val="none"/>
          <w:lang w:eastAsia="zh-CN"/>
        </w:rPr>
        <w:t>服务和</w:t>
      </w:r>
      <w:r>
        <w:rPr>
          <w:rFonts w:hint="eastAsia" w:ascii="仿宋_GB2312" w:hAnsi="仿宋"/>
          <w:color w:val="auto"/>
          <w:sz w:val="32"/>
          <w:szCs w:val="32"/>
          <w:highlight w:val="none"/>
        </w:rPr>
        <w:t>激励机制】自贸试验区创新招商引资形式，建立健全投资促进、投资保护工作机制，市投资促进部门加强对项目引入、推介活动等招商引资工作统筹，建立重大项目协调调度和项目促进专员全流程跟踪服务机制，健全外商投资企业投诉工作机制，保护外商投资合法权益。</w:t>
      </w:r>
    </w:p>
    <w:p>
      <w:pPr>
        <w:pStyle w:val="13"/>
        <w:numPr>
          <w:numId w:val="0"/>
        </w:num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建立新设企业和项目激励机制，探索对引进企业、机构和推动项目建设作出突出贡献的单位和个人进行奖励，具体办法由市投资促进部门和自贸试验区所在区负责制定并实施。</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【总部设立】鼓励外商投资企业在自贸试验区设立地区总部及外资研发总部等多形态总部，支持总部企业开展实体化经营，支持符合首都城市战略定位的总部企业持续在京高质量发展。</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便利境外投资】自贸试验区推动完善境外投资综合服务和风险防控体系，鼓励区内企业和个人开展多种形式的境外投资合作。优化境外投资备案、管理流程，探索实现区内企业境外投资项目一表申报，提高境外投资便利化水平。建立完善企业境外投资综合服务平台，整合信息和服务资源，为企业境外投资提供服务保障。</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【单一窗口】自贸试验区鼓励实行</w:t>
      </w:r>
      <w:bookmarkStart w:id="4" w:name="_Hlk80561371"/>
      <w:r>
        <w:rPr>
          <w:rFonts w:hint="eastAsia" w:ascii="仿宋_GB2312" w:hAnsi="仿宋"/>
          <w:color w:val="auto"/>
          <w:sz w:val="32"/>
          <w:szCs w:val="32"/>
          <w:highlight w:val="none"/>
        </w:rPr>
        <w:t>国际贸易“单一窗口”服务</w:t>
      </w:r>
      <w:bookmarkEnd w:id="4"/>
      <w:r>
        <w:rPr>
          <w:rFonts w:hint="eastAsia" w:ascii="仿宋_GB2312" w:hAnsi="仿宋"/>
          <w:color w:val="auto"/>
          <w:sz w:val="32"/>
          <w:szCs w:val="32"/>
          <w:highlight w:val="none"/>
        </w:rPr>
        <w:t>模式，拓展符合自贸试验区创新发展的业务服务功能，实现海关、边检、税务、外汇等口岸管理部门信息共享、监管互认、执法互助。</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【便捷通关】自贸试验区应对标国际通行规则，实施高水平的贸易自由化便利措施，按照通关便利、安全高效的要求，压缩口岸通关时间，优化监管模式和程序，提高通关效率，降低进出口环节合规成本。</w:t>
      </w:r>
    </w:p>
    <w:p>
      <w:pPr>
        <w:snapToGrid w:val="0"/>
        <w:spacing w:line="560" w:lineRule="exact"/>
        <w:ind w:firstLine="707" w:firstLineChars="221"/>
        <w:rPr>
          <w:rFonts w:ascii="仿宋_GB2312" w:hAnsi="仿宋"/>
          <w:color w:val="auto"/>
          <w:sz w:val="32"/>
          <w:szCs w:val="32"/>
          <w:highlight w:val="none"/>
        </w:rPr>
      </w:pPr>
      <w:r>
        <w:rPr>
          <w:rFonts w:hint="eastAsia" w:ascii="仿宋_GB2312" w:hAnsi="仿宋"/>
          <w:color w:val="auto"/>
          <w:sz w:val="32"/>
          <w:szCs w:val="32"/>
          <w:highlight w:val="none"/>
        </w:rPr>
        <w:t>加大海关高级认证企业培育力度，对通过认证的企业给予通关便利。</w:t>
      </w:r>
    </w:p>
    <w:p>
      <w:pPr>
        <w:pStyle w:val="13"/>
        <w:numPr>
          <w:ilvl w:val="0"/>
          <w:numId w:val="1"/>
        </w:numPr>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【鼓励新兴贸易】自贸试验区</w:t>
      </w:r>
      <w:r>
        <w:rPr>
          <w:rFonts w:hint="eastAsia" w:ascii="仿宋_GB2312" w:hAnsi="仿宋"/>
          <w:color w:val="auto"/>
          <w:sz w:val="32"/>
          <w:szCs w:val="32"/>
          <w:highlight w:val="none"/>
          <w:lang w:eastAsia="zh-CN"/>
        </w:rPr>
        <w:t>鼓励国际贸易新业态、新模式、新技术加快发展。促进跨境电商持续健康发展，</w:t>
      </w:r>
      <w:r>
        <w:rPr>
          <w:rFonts w:hint="eastAsia" w:ascii="仿宋_GB2312" w:hAnsi="仿宋"/>
          <w:color w:val="auto"/>
          <w:sz w:val="32"/>
          <w:szCs w:val="32"/>
          <w:highlight w:val="none"/>
        </w:rPr>
        <w:t>优化监管</w:t>
      </w:r>
      <w:r>
        <w:rPr>
          <w:rFonts w:ascii="仿宋_GB2312" w:hAnsi="仿宋"/>
          <w:color w:val="auto"/>
          <w:sz w:val="32"/>
          <w:szCs w:val="32"/>
          <w:highlight w:val="none"/>
        </w:rPr>
        <w:t>,探索跨境电商交易全流程创新</w:t>
      </w:r>
      <w:r>
        <w:rPr>
          <w:rFonts w:hint="eastAsia" w:ascii="仿宋_GB2312" w:hAnsi="仿宋"/>
          <w:color w:val="auto"/>
          <w:sz w:val="32"/>
          <w:szCs w:val="32"/>
          <w:highlight w:val="none"/>
          <w:lang w:eastAsia="zh-CN"/>
        </w:rPr>
        <w:t>。</w:t>
      </w:r>
      <w:r>
        <w:rPr>
          <w:rFonts w:hint="eastAsia" w:ascii="仿宋_GB2312" w:hAnsi="仿宋"/>
          <w:color w:val="auto"/>
          <w:sz w:val="32"/>
          <w:szCs w:val="32"/>
          <w:highlight w:val="none"/>
        </w:rPr>
        <w:t>开展跨境电子商务零售进口药品试点，允许通过跨境电商渠道进口部分医疗产品，支持药品和</w:t>
      </w:r>
      <w:r>
        <w:rPr>
          <w:rFonts w:ascii="仿宋_GB2312" w:hAnsi="仿宋"/>
          <w:color w:val="auto"/>
          <w:sz w:val="32"/>
          <w:szCs w:val="32"/>
          <w:highlight w:val="none"/>
        </w:rPr>
        <w:tab/>
      </w:r>
      <w:r>
        <w:rPr>
          <w:rFonts w:hint="eastAsia" w:ascii="仿宋_GB2312" w:hAnsi="仿宋"/>
          <w:color w:val="auto"/>
          <w:sz w:val="32"/>
          <w:szCs w:val="32"/>
          <w:highlight w:val="none"/>
        </w:rPr>
        <w:t>医疗器械出口。鼓励绿色贸易发展，扩大绿色产品贸易，推动国际贸易与生态环境协调发展。</w:t>
      </w:r>
      <w:r>
        <w:rPr>
          <w:rFonts w:hint="eastAsia" w:ascii="仿宋_GB2312" w:hAnsi="仿宋"/>
          <w:color w:val="auto"/>
          <w:sz w:val="32"/>
          <w:szCs w:val="32"/>
          <w:highlight w:val="none"/>
          <w:lang w:eastAsia="zh-CN"/>
        </w:rPr>
        <w:t>探索发展离岸贸易、新型易货贸易等新型贸易方式。</w:t>
      </w:r>
    </w:p>
    <w:p>
      <w:pPr>
        <w:pStyle w:val="13"/>
        <w:numPr>
          <w:ilvl w:val="0"/>
          <w:numId w:val="1"/>
        </w:numPr>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【鼓励服务贸易发展】自贸试验区鼓励服务贸易创新发展，</w:t>
      </w:r>
      <w:r>
        <w:rPr>
          <w:rFonts w:hint="eastAsia" w:ascii="仿宋_GB2312" w:hAnsi="仿宋"/>
          <w:color w:val="auto"/>
          <w:sz w:val="32"/>
          <w:szCs w:val="32"/>
          <w:highlight w:val="none"/>
          <w:lang w:eastAsia="zh-CN"/>
        </w:rPr>
        <w:t>优化服务进出口结构，</w:t>
      </w:r>
      <w:r>
        <w:rPr>
          <w:rFonts w:hint="eastAsia" w:ascii="仿宋_GB2312" w:hAnsi="仿宋"/>
          <w:color w:val="auto"/>
          <w:sz w:val="32"/>
          <w:szCs w:val="32"/>
          <w:highlight w:val="none"/>
          <w:lang w:val="en-US" w:eastAsia="zh-CN"/>
        </w:rPr>
        <w:tab/>
      </w:r>
      <w:r>
        <w:rPr>
          <w:rFonts w:hint="eastAsia" w:ascii="仿宋_GB2312" w:hAnsi="仿宋"/>
          <w:color w:val="auto"/>
          <w:sz w:val="32"/>
          <w:szCs w:val="32"/>
          <w:highlight w:val="none"/>
        </w:rPr>
        <w:t>探索建设特色服务出口基地，拓展新兴服务贸易模式。</w:t>
      </w:r>
      <w:r>
        <w:rPr>
          <w:rFonts w:hint="eastAsia" w:ascii="仿宋_GB2312" w:hAnsi="仿宋"/>
          <w:color w:val="auto"/>
          <w:sz w:val="32"/>
          <w:szCs w:val="32"/>
          <w:highlight w:val="none"/>
          <w:lang w:eastAsia="zh-CN"/>
        </w:rPr>
        <w:t>推动服务外包转型升级，鼓励研发、设计、维修、咨询等领域服务外包发展。</w:t>
      </w:r>
      <w:r>
        <w:rPr>
          <w:rFonts w:hint="eastAsia" w:ascii="仿宋_GB2312" w:hAnsi="仿宋"/>
          <w:color w:val="auto"/>
          <w:sz w:val="32"/>
          <w:szCs w:val="32"/>
          <w:highlight w:val="none"/>
        </w:rPr>
        <w:t>做大做强中国国际服务贸易交易会，提高市场化、国际化程度，打造国家级、国际性、综合型服务贸易平台。</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【综合保税区】支持自贸试验区内的综合保税区结合自身实际强化主导功能，培育特色产业</w:t>
      </w:r>
      <w:r>
        <w:rPr>
          <w:rFonts w:hint="eastAsia" w:ascii="仿宋_GB2312" w:hAnsi="仿宋"/>
          <w:color w:val="auto"/>
          <w:sz w:val="32"/>
          <w:szCs w:val="32"/>
          <w:highlight w:val="none"/>
          <w:lang w:eastAsia="zh-CN"/>
        </w:rPr>
        <w:t>。</w:t>
      </w:r>
      <w:r>
        <w:rPr>
          <w:rFonts w:hint="eastAsia" w:ascii="仿宋_GB2312" w:hAnsi="仿宋"/>
          <w:color w:val="auto"/>
          <w:sz w:val="32"/>
          <w:szCs w:val="32"/>
          <w:highlight w:val="none"/>
        </w:rPr>
        <w:t>鼓励发展保税研发、保税展示、保税维修等保税服务，持续推进监管模式创新、业态创新、体制创新，形成优势互补、错位发展的综合保税区发展格局。支持确有条件的区域根据实际需要申报综合保税区。</w:t>
      </w:r>
    </w:p>
    <w:p>
      <w:pPr>
        <w:spacing w:line="560" w:lineRule="exact"/>
        <w:rPr>
          <w:color w:val="auto"/>
          <w:highlight w:val="none"/>
        </w:rPr>
      </w:pPr>
      <w:bookmarkStart w:id="5" w:name="_Toc79312586"/>
    </w:p>
    <w:bookmarkEnd w:id="5"/>
    <w:p>
      <w:pPr>
        <w:pStyle w:val="2"/>
        <w:spacing w:line="560" w:lineRule="exact"/>
        <w:rPr>
          <w:rFonts w:hAnsi="微软雅黑"/>
          <w:color w:val="auto"/>
          <w:highlight w:val="none"/>
        </w:rPr>
      </w:pPr>
      <w:bookmarkStart w:id="6" w:name="_Toc79312587"/>
      <w:r>
        <w:rPr>
          <w:rFonts w:hint="eastAsia"/>
          <w:color w:val="auto"/>
          <w:highlight w:val="none"/>
        </w:rPr>
        <w:t>第四章 科技创新</w:t>
      </w:r>
      <w:bookmarkEnd w:id="6"/>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【科技创新驱动发展】自贸试验区服务国际科技创新中心建设，</w:t>
      </w:r>
      <w:r>
        <w:rPr>
          <w:rFonts w:hint="eastAsia" w:ascii="仿宋_GB2312" w:hAnsi="仿宋"/>
          <w:color w:val="auto"/>
          <w:sz w:val="32"/>
          <w:szCs w:val="32"/>
          <w:highlight w:val="none"/>
          <w:lang w:eastAsia="zh-CN"/>
        </w:rPr>
        <w:t>提升全球创新资源集聚水平</w:t>
      </w:r>
      <w:r>
        <w:rPr>
          <w:rFonts w:hint="eastAsia" w:ascii="仿宋_GB2312" w:hAnsi="仿宋"/>
          <w:color w:val="auto"/>
          <w:sz w:val="32"/>
          <w:szCs w:val="32"/>
          <w:highlight w:val="none"/>
        </w:rPr>
        <w:t>，搭建高端开放创新平台，强化国际合作，加强知识产权保护，激发创新创业活力。</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【引进和培育研发机构】自贸试验区推动各类研发机构集聚，</w:t>
      </w:r>
      <w:r>
        <w:rPr>
          <w:rFonts w:hint="eastAsia" w:ascii="仿宋_GB2312" w:hAnsi="仿宋"/>
          <w:color w:val="auto"/>
          <w:sz w:val="32"/>
          <w:szCs w:val="32"/>
          <w:highlight w:val="none"/>
          <w:lang w:eastAsia="zh-CN"/>
        </w:rPr>
        <w:t>鼓励科技领军企业在区内注册，</w:t>
      </w:r>
      <w:r>
        <w:rPr>
          <w:rFonts w:hint="eastAsia" w:ascii="仿宋_GB2312" w:hAnsi="仿宋"/>
          <w:color w:val="auto"/>
          <w:sz w:val="32"/>
          <w:szCs w:val="32"/>
          <w:highlight w:val="none"/>
        </w:rPr>
        <w:t>支持</w:t>
      </w:r>
      <w:r>
        <w:rPr>
          <w:rFonts w:hint="eastAsia" w:ascii="仿宋_GB2312" w:hAnsi="仿宋"/>
          <w:color w:val="auto"/>
          <w:sz w:val="32"/>
          <w:szCs w:val="32"/>
          <w:highlight w:val="none"/>
          <w:lang w:eastAsia="zh-CN"/>
        </w:rPr>
        <w:t>领军</w:t>
      </w:r>
      <w:r>
        <w:rPr>
          <w:rFonts w:hint="eastAsia" w:ascii="仿宋_GB2312" w:hAnsi="仿宋"/>
          <w:color w:val="auto"/>
          <w:sz w:val="32"/>
          <w:szCs w:val="32"/>
          <w:highlight w:val="none"/>
        </w:rPr>
        <w:t>企业牵头建设国家重点实验室，支持企业设立研发中心；鼓励设立</w:t>
      </w:r>
      <w:r>
        <w:rPr>
          <w:rFonts w:hint="eastAsia" w:ascii="仿宋_GB2312" w:hAnsi="仿宋"/>
          <w:color w:val="auto"/>
          <w:sz w:val="32"/>
          <w:szCs w:val="32"/>
          <w:highlight w:val="none"/>
          <w:lang w:eastAsia="zh-CN"/>
        </w:rPr>
        <w:t>科教基础设施和</w:t>
      </w:r>
      <w:r>
        <w:rPr>
          <w:rFonts w:hint="eastAsia" w:ascii="仿宋_GB2312" w:hAnsi="仿宋"/>
          <w:color w:val="auto"/>
          <w:sz w:val="32"/>
          <w:szCs w:val="32"/>
          <w:highlight w:val="none"/>
        </w:rPr>
        <w:t>交叉研究平台；建设、培育世界一流新型研发机构，支持国家实验室建设。</w:t>
      </w:r>
    </w:p>
    <w:p>
      <w:pPr>
        <w:pStyle w:val="13"/>
        <w:numPr>
          <w:ilvl w:val="0"/>
          <w:numId w:val="1"/>
        </w:numPr>
        <w:snapToGrid w:val="0"/>
        <w:spacing w:line="560" w:lineRule="exact"/>
        <w:ind w:firstLine="640"/>
        <w:rPr>
          <w:rFonts w:ascii="仿宋_GB2312" w:hAnsi="仿宋"/>
          <w:color w:val="auto"/>
          <w:sz w:val="32"/>
          <w:szCs w:val="32"/>
          <w:highlight w:val="none"/>
          <w:shd w:val="clear" w:color="auto" w:fill="98FA1C"/>
        </w:rPr>
      </w:pPr>
      <w:r>
        <w:rPr>
          <w:rFonts w:hint="eastAsia" w:ascii="仿宋_GB2312" w:hAnsi="仿宋"/>
          <w:color w:val="auto"/>
          <w:sz w:val="32"/>
          <w:szCs w:val="32"/>
          <w:highlight w:val="none"/>
        </w:rPr>
        <w:t>【强化</w:t>
      </w:r>
      <w:r>
        <w:rPr>
          <w:rFonts w:hint="eastAsia" w:ascii="仿宋_GB2312" w:hAnsi="仿宋"/>
          <w:color w:val="auto"/>
          <w:sz w:val="32"/>
          <w:szCs w:val="32"/>
          <w:highlight w:val="none"/>
          <w:lang w:eastAsia="zh-CN"/>
        </w:rPr>
        <w:t>机制保障</w:t>
      </w:r>
      <w:r>
        <w:rPr>
          <w:rFonts w:hint="eastAsia" w:ascii="仿宋_GB2312" w:hAnsi="仿宋"/>
          <w:color w:val="auto"/>
          <w:sz w:val="32"/>
          <w:szCs w:val="32"/>
          <w:highlight w:val="none"/>
        </w:rPr>
        <w:t>】自贸试验区</w:t>
      </w:r>
      <w:r>
        <w:rPr>
          <w:rFonts w:hint="eastAsia" w:ascii="仿宋_GB2312" w:hAnsi="仿宋"/>
          <w:color w:val="auto"/>
          <w:sz w:val="32"/>
          <w:szCs w:val="32"/>
          <w:highlight w:val="none"/>
          <w:lang w:eastAsia="zh-CN"/>
        </w:rPr>
        <w:t>建立科技创新对接、服务机制，优化人才引进、空间资源、土地使用等配套保障措施。</w:t>
      </w:r>
      <w:r>
        <w:rPr>
          <w:rFonts w:hint="eastAsia" w:ascii="仿宋_GB2312" w:hAnsi="仿宋"/>
          <w:sz w:val="32"/>
          <w:szCs w:val="32"/>
          <w:highlight w:val="none"/>
          <w:lang w:val="zh-CN"/>
        </w:rPr>
        <w:t>探索在科学数据共享、知识产权管理和使用等方面建立健全新型开放合作机制。</w:t>
      </w:r>
    </w:p>
    <w:p>
      <w:pPr>
        <w:pStyle w:val="13"/>
        <w:numPr>
          <w:ilvl w:val="0"/>
          <w:numId w:val="1"/>
        </w:numPr>
        <w:snapToGrid w:val="0"/>
        <w:spacing w:line="560" w:lineRule="exact"/>
        <w:ind w:firstLine="640"/>
        <w:rPr>
          <w:rFonts w:ascii="仿宋_GB2312" w:hAnsi="微软雅黑"/>
          <w:color w:val="auto"/>
          <w:sz w:val="22"/>
          <w:szCs w:val="20"/>
          <w:highlight w:val="none"/>
        </w:rPr>
      </w:pPr>
      <w:r>
        <w:rPr>
          <w:rFonts w:hint="eastAsia" w:ascii="仿宋_GB2312" w:hAnsi="仿宋"/>
          <w:color w:val="auto"/>
          <w:sz w:val="32"/>
          <w:szCs w:val="32"/>
          <w:highlight w:val="none"/>
        </w:rPr>
        <w:t>【科技</w:t>
      </w:r>
      <w:r>
        <w:rPr>
          <w:rFonts w:hint="eastAsia" w:ascii="仿宋_GB2312" w:hAnsi="仿宋"/>
          <w:color w:val="auto"/>
          <w:sz w:val="32"/>
          <w:szCs w:val="32"/>
          <w:highlight w:val="none"/>
          <w:lang w:eastAsia="zh-CN"/>
        </w:rPr>
        <w:t>对外交流</w:t>
      </w:r>
      <w:r>
        <w:rPr>
          <w:rFonts w:hint="eastAsia" w:ascii="仿宋_GB2312" w:hAnsi="仿宋"/>
          <w:color w:val="auto"/>
          <w:sz w:val="32"/>
          <w:szCs w:val="32"/>
          <w:highlight w:val="none"/>
        </w:rPr>
        <w:t>】自贸试验区鼓励区内企业、研发机构</w:t>
      </w:r>
      <w:r>
        <w:rPr>
          <w:rFonts w:hint="eastAsia" w:ascii="仿宋_GB2312"/>
          <w:color w:val="auto"/>
          <w:sz w:val="32"/>
          <w:szCs w:val="32"/>
          <w:highlight w:val="none"/>
        </w:rPr>
        <w:t>多维度开展国际交流，</w:t>
      </w:r>
      <w:r>
        <w:rPr>
          <w:rFonts w:hint="eastAsia" w:ascii="仿宋_GB2312"/>
          <w:color w:val="auto"/>
          <w:sz w:val="32"/>
          <w:szCs w:val="32"/>
          <w:highlight w:val="none"/>
          <w:lang w:eastAsia="zh-CN"/>
        </w:rPr>
        <w:t>培育具有国际影响力的高水平学术活动，</w:t>
      </w:r>
      <w:r>
        <w:rPr>
          <w:rFonts w:hint="eastAsia" w:ascii="仿宋_GB2312" w:hAnsi="仿宋"/>
          <w:color w:val="auto"/>
          <w:sz w:val="32"/>
          <w:szCs w:val="32"/>
          <w:highlight w:val="none"/>
        </w:rPr>
        <w:t>推进国家科技项目有序对外开放试点。</w:t>
      </w:r>
      <w:r>
        <w:rPr>
          <w:rFonts w:hint="eastAsia" w:ascii="仿宋_GB2312" w:hAnsi="仿宋"/>
          <w:color w:val="auto"/>
          <w:sz w:val="32"/>
          <w:szCs w:val="32"/>
          <w:highlight w:val="none"/>
          <w:lang w:eastAsia="zh-CN"/>
        </w:rPr>
        <w:t>鼓励大科学装置等科研设施，在信息成果服务、项目主体服务等方面开放共享。</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w:t>
      </w:r>
      <w:r>
        <w:rPr>
          <w:rFonts w:hint="eastAsia" w:ascii="仿宋_GB2312" w:hAnsi="仿宋"/>
          <w:color w:val="auto"/>
          <w:sz w:val="32"/>
          <w:szCs w:val="32"/>
          <w:highlight w:val="none"/>
          <w:lang w:eastAsia="zh-CN"/>
        </w:rPr>
        <w:t>创新研发合作形式</w:t>
      </w:r>
      <w:r>
        <w:rPr>
          <w:rFonts w:hint="eastAsia" w:ascii="仿宋_GB2312" w:hAnsi="仿宋"/>
          <w:color w:val="auto"/>
          <w:sz w:val="32"/>
          <w:szCs w:val="32"/>
          <w:highlight w:val="none"/>
        </w:rPr>
        <w:t>】</w:t>
      </w:r>
      <w:r>
        <w:rPr>
          <w:rFonts w:hint="eastAsia" w:ascii="仿宋_GB2312" w:hAnsi="仿宋"/>
          <w:color w:val="auto"/>
          <w:sz w:val="32"/>
          <w:szCs w:val="32"/>
          <w:highlight w:val="none"/>
          <w:lang w:eastAsia="zh-CN"/>
        </w:rPr>
        <w:t>自贸试验区推动</w:t>
      </w:r>
      <w:r>
        <w:rPr>
          <w:rFonts w:hint="eastAsia" w:ascii="仿宋_GB2312" w:hAnsi="仿宋"/>
          <w:color w:val="auto"/>
          <w:sz w:val="32"/>
          <w:szCs w:val="32"/>
          <w:highlight w:val="none"/>
        </w:rPr>
        <w:t>科学研究国际</w:t>
      </w:r>
      <w:r>
        <w:rPr>
          <w:rFonts w:hint="eastAsia" w:ascii="仿宋_GB2312" w:hAnsi="仿宋"/>
          <w:color w:val="auto"/>
          <w:sz w:val="32"/>
          <w:szCs w:val="32"/>
          <w:highlight w:val="none"/>
          <w:lang w:eastAsia="zh-CN"/>
        </w:rPr>
        <w:t>合作形式创新。</w:t>
      </w:r>
      <w:r>
        <w:rPr>
          <w:rFonts w:hint="eastAsia" w:ascii="仿宋_GB2312" w:hAnsi="仿宋"/>
          <w:color w:val="auto"/>
          <w:sz w:val="32"/>
          <w:szCs w:val="32"/>
          <w:highlight w:val="none"/>
        </w:rPr>
        <w:t>鼓励国际科技组织在区内注册。鼓励区内外资研发机构独立申报国家科技项目。支持外籍科学家领衔承担政府支持科技项目。允许持永久居留身份证的外籍人才在创办科技型企业方面享受国民待遇。</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【科技成果转化】</w:t>
      </w:r>
      <w:r>
        <w:rPr>
          <w:rFonts w:hint="eastAsia" w:ascii="仿宋_GB2312" w:hAnsi="仿宋"/>
          <w:sz w:val="32"/>
          <w:szCs w:val="32"/>
          <w:highlight w:val="none"/>
        </w:rPr>
        <w:t>自贸试验区鼓励企业、高等学校和科研院所建设科技成果转化平台，完善</w:t>
      </w:r>
      <w:r>
        <w:rPr>
          <w:rFonts w:hint="eastAsia" w:ascii="仿宋_GB2312" w:hAnsi="仿宋"/>
          <w:sz w:val="32"/>
          <w:szCs w:val="32"/>
          <w:highlight w:val="none"/>
          <w:lang w:eastAsia="zh-CN"/>
        </w:rPr>
        <w:t>创业孵化、</w:t>
      </w:r>
      <w:r>
        <w:rPr>
          <w:rFonts w:hint="eastAsia" w:ascii="仿宋_GB2312" w:hAnsi="仿宋"/>
          <w:sz w:val="32"/>
          <w:szCs w:val="32"/>
          <w:highlight w:val="none"/>
        </w:rPr>
        <w:t>供需对接、研发试制、</w:t>
      </w:r>
      <w:r>
        <w:rPr>
          <w:rFonts w:hint="eastAsia" w:ascii="仿宋_GB2312" w:hAnsi="仿宋"/>
          <w:sz w:val="32"/>
          <w:szCs w:val="32"/>
          <w:highlight w:val="none"/>
          <w:lang w:eastAsia="zh-CN"/>
        </w:rPr>
        <w:t>动物实验、</w:t>
      </w:r>
      <w:r>
        <w:rPr>
          <w:rFonts w:hint="eastAsia" w:ascii="仿宋_GB2312" w:hAnsi="仿宋"/>
          <w:sz w:val="32"/>
          <w:szCs w:val="32"/>
          <w:highlight w:val="none"/>
        </w:rPr>
        <w:t>测试检验、中试熟化、产业化开发等配套服务，促进科技成果落地</w:t>
      </w:r>
      <w:r>
        <w:rPr>
          <w:rFonts w:hint="eastAsia" w:ascii="仿宋_GB2312" w:hAnsi="仿宋"/>
          <w:color w:val="auto"/>
          <w:sz w:val="32"/>
          <w:szCs w:val="32"/>
          <w:highlight w:val="none"/>
        </w:rPr>
        <w:t>。</w:t>
      </w:r>
    </w:p>
    <w:p>
      <w:pPr>
        <w:pStyle w:val="15"/>
        <w:numPr>
          <w:ilvl w:val="0"/>
          <w:numId w:val="1"/>
        </w:numPr>
        <w:snapToGrid w:val="0"/>
        <w:spacing w:line="560" w:lineRule="exact"/>
        <w:ind w:left="0" w:firstLine="640"/>
        <w:rPr>
          <w:rFonts w:ascii="仿宋_GB2312" w:hAnsi="微软雅黑"/>
          <w:sz w:val="22"/>
          <w:highlight w:val="none"/>
        </w:rPr>
      </w:pPr>
      <w:r>
        <w:rPr>
          <w:rFonts w:hint="eastAsia" w:ascii="仿宋_GB2312" w:hAnsi="仿宋"/>
          <w:sz w:val="32"/>
          <w:szCs w:val="32"/>
          <w:highlight w:val="none"/>
        </w:rPr>
        <w:t>【知识产权保护】自贸试验区采取以下措施强化知识产权的保护</w:t>
      </w:r>
      <w:r>
        <w:rPr>
          <w:rFonts w:hint="default" w:ascii="仿宋_GB2312" w:hAnsi="仿宋"/>
          <w:sz w:val="32"/>
          <w:szCs w:val="32"/>
          <w:highlight w:val="none"/>
          <w:lang w:val="en-US"/>
        </w:rPr>
        <w:t>和运用</w:t>
      </w:r>
      <w:r>
        <w:rPr>
          <w:rFonts w:hint="eastAsia" w:ascii="仿宋_GB2312" w:hAnsi="仿宋"/>
          <w:sz w:val="32"/>
          <w:szCs w:val="32"/>
          <w:highlight w:val="none"/>
        </w:rPr>
        <w:t>：</w:t>
      </w:r>
    </w:p>
    <w:p>
      <w:pPr>
        <w:snapToGrid w:val="0"/>
        <w:spacing w:line="560" w:lineRule="atLeast"/>
        <w:ind w:firstLine="640" w:firstLineChars="200"/>
        <w:rPr>
          <w:rFonts w:hint="default" w:ascii="仿宋_GB2312" w:hAnsi="仿宋"/>
          <w:b/>
          <w:sz w:val="32"/>
          <w:szCs w:val="32"/>
          <w:highlight w:val="none"/>
        </w:rPr>
      </w:pPr>
      <w:r>
        <w:rPr>
          <w:rFonts w:hint="default" w:ascii="仿宋_GB2312" w:hAnsi="仿宋"/>
          <w:sz w:val="32"/>
          <w:szCs w:val="32"/>
          <w:highlight w:val="none"/>
        </w:rPr>
        <w:t>（</w:t>
      </w:r>
      <w:r>
        <w:rPr>
          <w:rFonts w:hint="default" w:ascii="仿宋_GB2312" w:hAnsi="仿宋"/>
          <w:sz w:val="32"/>
          <w:szCs w:val="32"/>
          <w:highlight w:val="none"/>
          <w:lang w:val="en-US"/>
        </w:rPr>
        <w:t>一</w:t>
      </w:r>
      <w:r>
        <w:rPr>
          <w:rFonts w:hint="default" w:ascii="仿宋_GB2312" w:hAnsi="仿宋"/>
          <w:sz w:val="32"/>
          <w:szCs w:val="32"/>
          <w:highlight w:val="none"/>
        </w:rPr>
        <w:t>）实施</w:t>
      </w:r>
      <w:r>
        <w:rPr>
          <w:rFonts w:hint="default" w:ascii="仿宋_GB2312" w:hAnsi="仿宋"/>
          <w:sz w:val="32"/>
          <w:szCs w:val="32"/>
          <w:highlight w:val="none"/>
          <w:lang w:val="en-US"/>
        </w:rPr>
        <w:t>严格</w:t>
      </w:r>
      <w:r>
        <w:rPr>
          <w:rFonts w:hint="default" w:ascii="仿宋_GB2312" w:hAnsi="仿宋"/>
          <w:sz w:val="32"/>
          <w:szCs w:val="32"/>
          <w:highlight w:val="none"/>
        </w:rPr>
        <w:t>的知识产权保护，平等保护</w:t>
      </w:r>
      <w:r>
        <w:rPr>
          <w:rFonts w:hint="default" w:ascii="仿宋_GB2312" w:hAnsi="仿宋"/>
          <w:sz w:val="32"/>
          <w:szCs w:val="32"/>
          <w:highlight w:val="none"/>
          <w:lang w:val="en-US"/>
        </w:rPr>
        <w:t>各类市场主体知识产权</w:t>
      </w:r>
      <w:r>
        <w:rPr>
          <w:rFonts w:hint="default" w:ascii="仿宋_GB2312" w:hAnsi="仿宋"/>
          <w:sz w:val="32"/>
          <w:szCs w:val="32"/>
          <w:highlight w:val="none"/>
        </w:rPr>
        <w:t>；</w:t>
      </w:r>
    </w:p>
    <w:p>
      <w:pPr>
        <w:snapToGrid w:val="0"/>
        <w:spacing w:line="560" w:lineRule="atLeast"/>
        <w:ind w:firstLine="640" w:firstLineChars="200"/>
        <w:rPr>
          <w:bCs/>
          <w:highlight w:val="none"/>
        </w:rPr>
      </w:pPr>
      <w:r>
        <w:rPr>
          <w:rFonts w:hint="default" w:ascii="仿宋_GB2312" w:hAnsi="仿宋"/>
          <w:b w:val="0"/>
          <w:bCs/>
          <w:sz w:val="32"/>
          <w:szCs w:val="32"/>
          <w:highlight w:val="none"/>
          <w:lang w:val="en-US"/>
        </w:rPr>
        <w:t>（二）指导自贸试验区各类主体建立健全商业秘密保护制度，</w:t>
      </w:r>
      <w:r>
        <w:rPr>
          <w:rFonts w:hint="default" w:ascii="仿宋_GB2312" w:hAnsi="宋体" w:eastAsia="仿宋_GB2312"/>
          <w:bCs/>
          <w:sz w:val="32"/>
          <w:szCs w:val="32"/>
          <w:highlight w:val="none"/>
          <w:lang w:val="en-US" w:eastAsia="zh-CN"/>
        </w:rPr>
        <w:t>探索完善</w:t>
      </w:r>
      <w:r>
        <w:rPr>
          <w:rFonts w:hint="default" w:ascii="仿宋_GB2312" w:hAnsi="宋体" w:eastAsia="仿宋_GB2312"/>
          <w:bCs/>
          <w:sz w:val="32"/>
          <w:szCs w:val="32"/>
          <w:highlight w:val="none"/>
          <w:lang w:eastAsia="zh-CN"/>
        </w:rPr>
        <w:t>移动互联网、</w:t>
      </w:r>
      <w:r>
        <w:rPr>
          <w:rFonts w:hint="default" w:ascii="仿宋_GB2312" w:hAnsi="宋体" w:eastAsia="仿宋_GB2312"/>
          <w:bCs/>
          <w:sz w:val="32"/>
          <w:szCs w:val="32"/>
          <w:highlight w:val="none"/>
        </w:rPr>
        <w:t>大数据</w:t>
      </w:r>
      <w:r>
        <w:rPr>
          <w:rFonts w:hint="default" w:ascii="仿宋_GB2312" w:hAnsi="宋体" w:eastAsia="仿宋_GB2312"/>
          <w:bCs/>
          <w:sz w:val="32"/>
          <w:szCs w:val="32"/>
          <w:highlight w:val="none"/>
          <w:lang w:eastAsia="zh-CN"/>
        </w:rPr>
        <w:t>、</w:t>
      </w:r>
      <w:r>
        <w:rPr>
          <w:rFonts w:hint="default" w:ascii="仿宋_GB2312" w:hAnsi="宋体" w:eastAsia="仿宋_GB2312"/>
          <w:bCs/>
          <w:sz w:val="32"/>
          <w:szCs w:val="32"/>
          <w:highlight w:val="none"/>
          <w:lang w:val="en-US" w:eastAsia="zh-CN"/>
        </w:rPr>
        <w:t>开源、算法、商业方法、</w:t>
      </w:r>
      <w:r>
        <w:rPr>
          <w:rFonts w:hint="default" w:ascii="仿宋_GB2312" w:hAnsi="宋体" w:eastAsia="仿宋_GB2312"/>
          <w:bCs/>
          <w:sz w:val="32"/>
          <w:szCs w:val="32"/>
          <w:highlight w:val="none"/>
        </w:rPr>
        <w:t>人工智能等知识产权</w:t>
      </w:r>
      <w:r>
        <w:rPr>
          <w:rFonts w:hint="default" w:ascii="仿宋_GB2312" w:hAnsi="宋体" w:eastAsia="仿宋_GB2312"/>
          <w:bCs/>
          <w:sz w:val="32"/>
          <w:szCs w:val="32"/>
          <w:highlight w:val="none"/>
          <w:lang w:eastAsia="zh-CN"/>
        </w:rPr>
        <w:t>管理和保护措施</w:t>
      </w:r>
      <w:r>
        <w:rPr>
          <w:rFonts w:hint="default" w:ascii="仿宋_GB2312" w:hAnsi="宋体" w:eastAsia="仿宋_GB2312"/>
          <w:bCs/>
          <w:sz w:val="32"/>
          <w:szCs w:val="32"/>
          <w:highlight w:val="none"/>
          <w:lang w:val="en-US" w:eastAsia="zh-CN"/>
        </w:rPr>
        <w:t>；</w:t>
      </w:r>
    </w:p>
    <w:p>
      <w:pPr>
        <w:snapToGrid w:val="0"/>
        <w:spacing w:line="560" w:lineRule="atLeast"/>
        <w:ind w:firstLine="640" w:firstLineChars="200"/>
        <w:rPr>
          <w:rFonts w:hint="default" w:ascii="仿宋_GB2312" w:hAnsi="仿宋"/>
          <w:sz w:val="32"/>
          <w:szCs w:val="32"/>
          <w:highlight w:val="none"/>
          <w:lang w:val="en-US"/>
        </w:rPr>
      </w:pPr>
      <w:r>
        <w:rPr>
          <w:rFonts w:hint="default" w:ascii="仿宋_GB2312" w:hAnsi="仿宋"/>
          <w:sz w:val="32"/>
          <w:szCs w:val="32"/>
          <w:highlight w:val="none"/>
          <w:lang w:val="en-US"/>
        </w:rPr>
        <w:t>（三）支持在自贸试验区设立知识产权保护分中心、知识产权公共服务工作站；</w:t>
      </w:r>
    </w:p>
    <w:p>
      <w:pPr>
        <w:snapToGrid w:val="0"/>
        <w:spacing w:line="560" w:lineRule="atLeast"/>
        <w:ind w:firstLine="640" w:firstLineChars="200"/>
      </w:pPr>
      <w:r>
        <w:rPr>
          <w:rFonts w:hint="default" w:ascii="仿宋_GB2312" w:hAnsi="仿宋"/>
          <w:sz w:val="32"/>
          <w:szCs w:val="32"/>
          <w:highlight w:val="none"/>
        </w:rPr>
        <w:t>（</w:t>
      </w:r>
      <w:r>
        <w:rPr>
          <w:rFonts w:hint="default" w:ascii="仿宋_GB2312" w:hAnsi="仿宋"/>
          <w:sz w:val="32"/>
          <w:szCs w:val="32"/>
          <w:highlight w:val="none"/>
          <w:lang w:val="en-US"/>
        </w:rPr>
        <w:t>四</w:t>
      </w:r>
      <w:r>
        <w:rPr>
          <w:rFonts w:hint="default" w:ascii="仿宋_GB2312" w:hAnsi="仿宋"/>
          <w:sz w:val="32"/>
          <w:szCs w:val="32"/>
          <w:highlight w:val="none"/>
        </w:rPr>
        <w:t>）在自贸试验区设立知识产权巡回审判点，强化知识产权审判职能，加强知识产权审判机制创新，加大对知识产权侵权行为的惩治力度</w:t>
      </w:r>
      <w:r>
        <w:rPr>
          <w:rFonts w:hint="default" w:ascii="仿宋_GB2312" w:hAnsi="仿宋"/>
          <w:sz w:val="32"/>
          <w:szCs w:val="32"/>
          <w:highlight w:val="none"/>
          <w:lang w:val="en-US"/>
        </w:rPr>
        <w:t>，依法</w:t>
      </w:r>
      <w:r>
        <w:rPr>
          <w:rFonts w:hint="default" w:ascii="仿宋_GB2312" w:hAnsi="仿宋"/>
          <w:sz w:val="32"/>
          <w:szCs w:val="32"/>
          <w:highlight w:val="none"/>
        </w:rPr>
        <w:t>审理涉外知识产权纠纷</w:t>
      </w:r>
      <w:r>
        <w:rPr>
          <w:rFonts w:hint="default" w:ascii="仿宋_GB2312" w:hAnsi="仿宋"/>
          <w:sz w:val="32"/>
          <w:szCs w:val="32"/>
          <w:highlight w:val="none"/>
          <w:lang w:eastAsia="zh-CN"/>
        </w:rPr>
        <w:t>；</w:t>
      </w:r>
    </w:p>
    <w:p>
      <w:pPr>
        <w:snapToGrid w:val="0"/>
        <w:spacing w:line="560" w:lineRule="atLeast"/>
        <w:ind w:firstLine="640" w:firstLineChars="200"/>
      </w:pPr>
      <w:r>
        <w:rPr>
          <w:rFonts w:hint="default" w:ascii="仿宋_GB2312" w:hAnsi="仿宋"/>
          <w:sz w:val="32"/>
          <w:szCs w:val="32"/>
          <w:highlight w:val="none"/>
        </w:rPr>
        <w:t>（</w:t>
      </w:r>
      <w:r>
        <w:rPr>
          <w:rFonts w:hint="default" w:ascii="仿宋_GB2312" w:hAnsi="仿宋"/>
          <w:sz w:val="32"/>
          <w:szCs w:val="32"/>
          <w:highlight w:val="none"/>
          <w:lang w:val="en-US"/>
        </w:rPr>
        <w:t>五</w:t>
      </w:r>
      <w:r>
        <w:rPr>
          <w:rFonts w:hint="default" w:ascii="仿宋_GB2312" w:hAnsi="仿宋"/>
          <w:sz w:val="32"/>
          <w:szCs w:val="32"/>
          <w:highlight w:val="none"/>
        </w:rPr>
        <w:t>）鼓励自贸试验区</w:t>
      </w:r>
      <w:r>
        <w:rPr>
          <w:rFonts w:hint="default" w:ascii="仿宋_GB2312" w:hAnsi="仿宋"/>
          <w:sz w:val="32"/>
          <w:szCs w:val="32"/>
          <w:highlight w:val="none"/>
          <w:lang w:val="en-US"/>
        </w:rPr>
        <w:t>各类市场主体</w:t>
      </w:r>
      <w:r>
        <w:rPr>
          <w:rFonts w:hint="default" w:ascii="仿宋_GB2312" w:hAnsi="仿宋"/>
          <w:sz w:val="32"/>
          <w:szCs w:val="32"/>
          <w:highlight w:val="none"/>
        </w:rPr>
        <w:t>健全海外知识产权维权体系，完善</w:t>
      </w:r>
      <w:r>
        <w:rPr>
          <w:rFonts w:hint="default" w:ascii="仿宋_GB2312" w:hAnsi="仿宋"/>
          <w:sz w:val="32"/>
          <w:szCs w:val="32"/>
          <w:highlight w:val="none"/>
          <w:lang w:val="en-US"/>
        </w:rPr>
        <w:t>重点领域</w:t>
      </w:r>
      <w:r>
        <w:rPr>
          <w:rFonts w:hint="default" w:ascii="仿宋_GB2312" w:hAnsi="仿宋"/>
          <w:sz w:val="32"/>
          <w:szCs w:val="32"/>
          <w:highlight w:val="none"/>
        </w:rPr>
        <w:t>海外知识产权风险预警机制；</w:t>
      </w:r>
    </w:p>
    <w:p>
      <w:pPr>
        <w:snapToGrid w:val="0"/>
        <w:spacing w:line="560" w:lineRule="exact"/>
        <w:ind w:firstLine="640" w:firstLineChars="200"/>
        <w:rPr>
          <w:rFonts w:ascii="仿宋_GB2312" w:hAnsi="微软雅黑"/>
          <w:sz w:val="22"/>
          <w:highlight w:val="none"/>
        </w:rPr>
      </w:pPr>
      <w:r>
        <w:rPr>
          <w:rFonts w:hint="eastAsia" w:ascii="仿宋_GB2312" w:hAnsi="仿宋"/>
          <w:sz w:val="32"/>
          <w:szCs w:val="32"/>
          <w:highlight w:val="none"/>
        </w:rPr>
        <w:t>（</w:t>
      </w:r>
      <w:r>
        <w:rPr>
          <w:rFonts w:hint="default" w:ascii="仿宋_GB2312" w:hAnsi="仿宋"/>
          <w:sz w:val="32"/>
          <w:szCs w:val="32"/>
          <w:highlight w:val="none"/>
          <w:lang w:val="en-US"/>
        </w:rPr>
        <w:t>六</w:t>
      </w:r>
      <w:r>
        <w:rPr>
          <w:rFonts w:hint="eastAsia" w:ascii="仿宋_GB2312" w:hAnsi="仿宋"/>
          <w:sz w:val="32"/>
          <w:szCs w:val="32"/>
          <w:highlight w:val="none"/>
        </w:rPr>
        <w:t>）推进知识产权交易中心建设，完善</w:t>
      </w:r>
      <w:r>
        <w:rPr>
          <w:rFonts w:hint="default" w:ascii="仿宋_GB2312" w:hAnsi="仿宋"/>
          <w:sz w:val="32"/>
          <w:szCs w:val="32"/>
          <w:highlight w:val="none"/>
          <w:lang w:val="en-US"/>
        </w:rPr>
        <w:t>符合知识产权特点的</w:t>
      </w:r>
      <w:r>
        <w:rPr>
          <w:rFonts w:hint="eastAsia" w:ascii="仿宋_GB2312" w:hAnsi="仿宋"/>
          <w:sz w:val="32"/>
          <w:szCs w:val="32"/>
          <w:highlight w:val="none"/>
        </w:rPr>
        <w:t>交易规则，健全服务体系。鼓励知识产权评估机构进驻交易中心，探索建立公允的知识产权</w:t>
      </w:r>
      <w:r>
        <w:rPr>
          <w:rFonts w:hint="default" w:ascii="仿宋_GB2312" w:hAnsi="仿宋"/>
          <w:sz w:val="32"/>
          <w:szCs w:val="32"/>
          <w:highlight w:val="none"/>
          <w:lang w:val="en-US"/>
        </w:rPr>
        <w:t>价值</w:t>
      </w:r>
      <w:r>
        <w:rPr>
          <w:rFonts w:hint="eastAsia" w:ascii="仿宋_GB2312" w:hAnsi="仿宋"/>
          <w:sz w:val="32"/>
          <w:szCs w:val="32"/>
          <w:highlight w:val="none"/>
        </w:rPr>
        <w:t>评估机制；</w:t>
      </w:r>
      <w:r>
        <w:rPr>
          <w:rFonts w:hint="eastAsia" w:ascii="仿宋_GB2312" w:hAnsi="仿宋"/>
          <w:sz w:val="32"/>
          <w:szCs w:val="32"/>
          <w:highlight w:val="none"/>
          <w:lang w:eastAsia="zh-CN"/>
        </w:rPr>
        <w:t>鼓励</w:t>
      </w:r>
      <w:r>
        <w:rPr>
          <w:rFonts w:hint="eastAsia" w:ascii="仿宋_GB2312" w:hAnsi="仿宋"/>
          <w:sz w:val="32"/>
          <w:szCs w:val="32"/>
          <w:highlight w:val="none"/>
        </w:rPr>
        <w:t>知识产权服务机构</w:t>
      </w:r>
      <w:r>
        <w:rPr>
          <w:rFonts w:hint="eastAsia" w:ascii="仿宋_GB2312" w:hAnsi="仿宋"/>
          <w:sz w:val="32"/>
          <w:szCs w:val="32"/>
          <w:highlight w:val="none"/>
          <w:lang w:eastAsia="zh-CN"/>
        </w:rPr>
        <w:t>在交易中心</w:t>
      </w:r>
      <w:r>
        <w:rPr>
          <w:rFonts w:hint="eastAsia" w:ascii="仿宋_GB2312" w:hAnsi="仿宋"/>
          <w:sz w:val="32"/>
          <w:szCs w:val="32"/>
          <w:highlight w:val="none"/>
        </w:rPr>
        <w:t>提供专业服务</w:t>
      </w:r>
      <w:r>
        <w:rPr>
          <w:rFonts w:hint="eastAsia" w:ascii="仿宋_GB2312" w:hAnsi="仿宋"/>
          <w:sz w:val="32"/>
          <w:szCs w:val="32"/>
          <w:highlight w:val="none"/>
          <w:lang w:eastAsia="zh-CN"/>
        </w:rPr>
        <w:t>；</w:t>
      </w:r>
    </w:p>
    <w:p>
      <w:pPr>
        <w:snapToGrid w:val="0"/>
        <w:spacing w:line="560" w:lineRule="atLeast"/>
        <w:ind w:firstLine="640" w:firstLineChars="200"/>
      </w:pPr>
      <w:r>
        <w:rPr>
          <w:rFonts w:hint="default" w:ascii="仿宋_GB2312" w:hAnsi="仿宋"/>
          <w:sz w:val="32"/>
          <w:szCs w:val="32"/>
          <w:highlight w:val="none"/>
        </w:rPr>
        <w:t>（</w:t>
      </w:r>
      <w:r>
        <w:rPr>
          <w:rFonts w:hint="default" w:ascii="仿宋_GB2312" w:hAnsi="仿宋"/>
          <w:sz w:val="32"/>
          <w:szCs w:val="32"/>
          <w:highlight w:val="none"/>
          <w:lang w:val="en-US"/>
        </w:rPr>
        <w:t>七</w:t>
      </w:r>
      <w:r>
        <w:rPr>
          <w:rFonts w:hint="default" w:ascii="仿宋_GB2312" w:hAnsi="仿宋"/>
          <w:sz w:val="32"/>
          <w:szCs w:val="32"/>
          <w:highlight w:val="none"/>
        </w:rPr>
        <w:t>）外国专利代理机构</w:t>
      </w:r>
      <w:r>
        <w:rPr>
          <w:rFonts w:hint="default" w:ascii="仿宋_GB2312" w:hAnsi="仿宋"/>
          <w:sz w:val="32"/>
          <w:szCs w:val="32"/>
          <w:highlight w:val="none"/>
          <w:lang w:val="en-US"/>
        </w:rPr>
        <w:t>等境外知识产权服务机构</w:t>
      </w:r>
      <w:r>
        <w:rPr>
          <w:rFonts w:hint="default" w:ascii="仿宋_GB2312" w:hAnsi="仿宋"/>
          <w:sz w:val="32"/>
          <w:szCs w:val="32"/>
          <w:highlight w:val="none"/>
        </w:rPr>
        <w:t>可在区内设立常驻代表机构，提供</w:t>
      </w:r>
      <w:r>
        <w:rPr>
          <w:rFonts w:hint="default" w:ascii="仿宋_GB2312" w:hAnsi="仿宋"/>
          <w:sz w:val="32"/>
          <w:szCs w:val="32"/>
          <w:highlight w:val="none"/>
          <w:lang w:val="en-US"/>
        </w:rPr>
        <w:t>知识产权</w:t>
      </w:r>
      <w:r>
        <w:rPr>
          <w:rFonts w:hint="default" w:ascii="仿宋_GB2312" w:hAnsi="仿宋"/>
          <w:sz w:val="32"/>
          <w:szCs w:val="32"/>
          <w:highlight w:val="none"/>
        </w:rPr>
        <w:t>事务咨询、办理已获准的专利代理业务等</w:t>
      </w:r>
      <w:r>
        <w:rPr>
          <w:rFonts w:hint="default" w:ascii="仿宋_GB2312" w:hAnsi="仿宋"/>
          <w:sz w:val="32"/>
          <w:szCs w:val="32"/>
          <w:highlight w:val="none"/>
          <w:lang w:val="en-US"/>
        </w:rPr>
        <w:t>专业</w:t>
      </w:r>
      <w:r>
        <w:rPr>
          <w:rFonts w:hint="default" w:ascii="仿宋_GB2312" w:hAnsi="仿宋"/>
          <w:sz w:val="32"/>
          <w:szCs w:val="32"/>
          <w:highlight w:val="none"/>
        </w:rPr>
        <w:t>服务；</w:t>
      </w:r>
    </w:p>
    <w:p>
      <w:pPr>
        <w:snapToGrid w:val="0"/>
        <w:spacing w:line="560" w:lineRule="exact"/>
        <w:ind w:firstLine="640" w:firstLineChars="200"/>
        <w:jc w:val="left"/>
        <w:rPr>
          <w:rFonts w:ascii="仿宋_GB2312" w:hAnsi="微软雅黑"/>
          <w:sz w:val="22"/>
          <w:highlight w:val="none"/>
        </w:rPr>
      </w:pPr>
      <w:r>
        <w:rPr>
          <w:rFonts w:hint="eastAsia" w:ascii="仿宋_GB2312" w:hAnsi="仿宋"/>
          <w:sz w:val="32"/>
          <w:szCs w:val="32"/>
          <w:highlight w:val="none"/>
        </w:rPr>
        <w:t>（</w:t>
      </w:r>
      <w:r>
        <w:rPr>
          <w:rFonts w:hint="default" w:ascii="仿宋_GB2312" w:hAnsi="仿宋"/>
          <w:sz w:val="32"/>
          <w:szCs w:val="32"/>
          <w:highlight w:val="none"/>
          <w:lang w:val="en-US"/>
        </w:rPr>
        <w:t>八</w:t>
      </w:r>
      <w:r>
        <w:rPr>
          <w:rFonts w:hint="eastAsia" w:ascii="仿宋_GB2312" w:hAnsi="仿宋"/>
          <w:sz w:val="32"/>
          <w:szCs w:val="32"/>
          <w:highlight w:val="none"/>
        </w:rPr>
        <w:t>）鼓励</w:t>
      </w:r>
      <w:r>
        <w:rPr>
          <w:rFonts w:hint="default" w:ascii="仿宋_GB2312" w:hAnsi="仿宋"/>
          <w:sz w:val="32"/>
          <w:szCs w:val="32"/>
          <w:highlight w:val="none"/>
          <w:lang w:val="en-US"/>
        </w:rPr>
        <w:t>自贸试验区内金融机构创新知识产权金融服务机制，扩大知识产权质押融资规模，</w:t>
      </w:r>
      <w:r>
        <w:rPr>
          <w:rFonts w:hint="eastAsia" w:ascii="仿宋_GB2312" w:hAnsi="仿宋"/>
          <w:sz w:val="32"/>
          <w:szCs w:val="32"/>
          <w:highlight w:val="none"/>
        </w:rPr>
        <w:t>依法开展知识产权证券化</w:t>
      </w:r>
      <w:r>
        <w:rPr>
          <w:rFonts w:hint="default" w:ascii="仿宋_GB2312" w:hAnsi="仿宋"/>
          <w:sz w:val="32"/>
          <w:szCs w:val="32"/>
          <w:highlight w:val="none"/>
          <w:lang w:val="en-US"/>
        </w:rPr>
        <w:t>、融资租赁</w:t>
      </w:r>
      <w:r>
        <w:rPr>
          <w:rFonts w:hint="eastAsia" w:ascii="仿宋_GB2312" w:hAnsi="仿宋"/>
          <w:sz w:val="32"/>
          <w:szCs w:val="32"/>
          <w:highlight w:val="none"/>
        </w:rPr>
        <w:t>业务</w:t>
      </w:r>
      <w:r>
        <w:rPr>
          <w:rFonts w:hint="default" w:ascii="仿宋_GB2312" w:hAnsi="仿宋"/>
          <w:sz w:val="32"/>
          <w:szCs w:val="32"/>
          <w:highlight w:val="none"/>
          <w:lang w:val="en-US"/>
        </w:rPr>
        <w:t>，</w:t>
      </w:r>
      <w:r>
        <w:rPr>
          <w:rFonts w:hint="default" w:ascii="仿宋_GB2312" w:hAnsi="仿宋"/>
          <w:sz w:val="32"/>
          <w:szCs w:val="32"/>
          <w:highlight w:val="none"/>
        </w:rPr>
        <w:t>探索</w:t>
      </w:r>
      <w:r>
        <w:rPr>
          <w:rFonts w:hint="default" w:ascii="仿宋_GB2312" w:hAnsi="仿宋"/>
          <w:sz w:val="32"/>
          <w:szCs w:val="32"/>
          <w:highlight w:val="none"/>
          <w:lang w:eastAsia="zh-CN"/>
        </w:rPr>
        <w:t>推进</w:t>
      </w:r>
      <w:r>
        <w:rPr>
          <w:rFonts w:hint="default" w:ascii="仿宋_GB2312" w:hAnsi="仿宋"/>
          <w:sz w:val="32"/>
          <w:szCs w:val="32"/>
          <w:highlight w:val="none"/>
        </w:rPr>
        <w:t>知识产权保险业务</w:t>
      </w:r>
      <w:r>
        <w:rPr>
          <w:rFonts w:hint="default" w:ascii="仿宋_GB2312" w:hAnsi="仿宋"/>
          <w:sz w:val="32"/>
          <w:szCs w:val="32"/>
          <w:highlight w:val="none"/>
          <w:lang w:val="en-US"/>
        </w:rPr>
        <w:t>。</w:t>
      </w:r>
    </w:p>
    <w:p>
      <w:pPr>
        <w:pStyle w:val="13"/>
        <w:snapToGrid w:val="0"/>
        <w:spacing w:line="560" w:lineRule="exact"/>
        <w:ind w:firstLineChars="0"/>
        <w:rPr>
          <w:rFonts w:ascii="仿宋_GB2312" w:hAnsi="仿宋"/>
          <w:color w:val="auto"/>
          <w:sz w:val="32"/>
          <w:szCs w:val="32"/>
          <w:highlight w:val="none"/>
        </w:rPr>
      </w:pPr>
      <w:bookmarkStart w:id="7" w:name="_Toc79312588"/>
    </w:p>
    <w:p>
      <w:pPr>
        <w:pStyle w:val="2"/>
        <w:spacing w:line="560" w:lineRule="exact"/>
        <w:rPr>
          <w:rFonts w:hAnsi="微软雅黑"/>
          <w:color w:val="auto"/>
          <w:highlight w:val="none"/>
        </w:rPr>
      </w:pPr>
      <w:r>
        <w:rPr>
          <w:rFonts w:hint="eastAsia"/>
          <w:color w:val="auto"/>
          <w:highlight w:val="none"/>
        </w:rPr>
        <w:t>第五章 数字经济</w:t>
      </w:r>
      <w:bookmarkEnd w:id="7"/>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【数字经济特色化发展】自贸试验区鼓励发展数字经济，完善区内数字基础设施建设，建立健全数字经济发展规则，构建数字经济服务体系，打造数字经济试验区。</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【数字基础设施建设】自贸试验区构建安全便利的国际互联网数据专用通道，支持国际大数据交易所、数字版权相关交易平台等数字基础设施建设。</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【数据跨境流动规则】自贸试验区探索建立符合实际的数据跨境流动规则，在特定监管机制下，分级分类分阶段推动数据跨境安全有序流动。</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【数字交易规则】自贸试验区建立健全数字交易规则，探索数据确权、数据资产、数据服务等交易标准及数据交易流通的定价、结算、质量认证等服务体系。</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【数据保护认证机制】自贸试验区探索制定信息技术安全、数据权益保护等重点领域规则，</w:t>
      </w:r>
      <w:bookmarkStart w:id="8" w:name="_Hlk80562121"/>
      <w:r>
        <w:rPr>
          <w:rFonts w:hint="eastAsia" w:ascii="仿宋_GB2312" w:hAnsi="仿宋"/>
          <w:color w:val="auto"/>
          <w:sz w:val="32"/>
          <w:szCs w:val="32"/>
          <w:highlight w:val="none"/>
        </w:rPr>
        <w:t>加强跨境数据保护规制合作</w:t>
      </w:r>
      <w:bookmarkEnd w:id="8"/>
      <w:r>
        <w:rPr>
          <w:rFonts w:hint="eastAsia" w:ascii="仿宋_GB2312" w:hAnsi="仿宋"/>
          <w:color w:val="auto"/>
          <w:sz w:val="32"/>
          <w:szCs w:val="32"/>
          <w:highlight w:val="none"/>
        </w:rPr>
        <w:t>。探索建立针对企业数据保护能力的第三方认证机制，鼓励自贸试验区企业开展数据保护能力评估测试。</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【数字贸易】</w:t>
      </w:r>
      <w:r>
        <w:rPr>
          <w:rFonts w:hint="eastAsia" w:ascii="仿宋_GB2312" w:hAnsi="仿宋"/>
          <w:color w:val="auto"/>
          <w:sz w:val="32"/>
          <w:szCs w:val="32"/>
          <w:highlight w:val="none"/>
          <w:lang w:eastAsia="zh-CN"/>
        </w:rPr>
        <w:t>本市</w:t>
      </w:r>
      <w:r>
        <w:rPr>
          <w:rFonts w:hint="eastAsia" w:ascii="仿宋_GB2312" w:hAnsi="仿宋"/>
          <w:color w:val="auto"/>
          <w:sz w:val="32"/>
          <w:szCs w:val="32"/>
          <w:highlight w:val="none"/>
        </w:rPr>
        <w:t>支持自贸试验区发展数字内容、数字服务贸易、信息技术服务等领域，建设数字贸易服务平台，推动数字贸易交付、结算便利化。</w:t>
      </w:r>
      <w:bookmarkStart w:id="9" w:name="_Hlk80562192"/>
      <w:r>
        <w:rPr>
          <w:rFonts w:hint="eastAsia" w:ascii="仿宋_GB2312" w:hAnsi="仿宋"/>
          <w:color w:val="auto"/>
          <w:sz w:val="32"/>
          <w:szCs w:val="32"/>
          <w:highlight w:val="none"/>
        </w:rPr>
        <w:t>探索建立数字贸易统计制度</w:t>
      </w:r>
      <w:bookmarkEnd w:id="9"/>
      <w:r>
        <w:rPr>
          <w:rFonts w:hint="eastAsia" w:ascii="仿宋_GB2312" w:hAnsi="仿宋"/>
          <w:color w:val="auto"/>
          <w:sz w:val="32"/>
          <w:szCs w:val="32"/>
          <w:highlight w:val="none"/>
        </w:rPr>
        <w:t>。</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【数字贸易港】</w:t>
      </w:r>
      <w:bookmarkStart w:id="10" w:name="_Hlk80562357"/>
      <w:r>
        <w:rPr>
          <w:rFonts w:hint="eastAsia" w:ascii="仿宋_GB2312" w:hAnsi="仿宋"/>
          <w:color w:val="auto"/>
          <w:sz w:val="32"/>
          <w:szCs w:val="32"/>
          <w:highlight w:val="none"/>
          <w:lang w:eastAsia="zh-CN"/>
        </w:rPr>
        <w:t>自贸试验区鼓励</w:t>
      </w:r>
      <w:r>
        <w:rPr>
          <w:rFonts w:hint="eastAsia" w:ascii="仿宋_GB2312" w:hAnsi="仿宋"/>
          <w:color w:val="auto"/>
          <w:sz w:val="32"/>
          <w:szCs w:val="32"/>
          <w:highlight w:val="none"/>
        </w:rPr>
        <w:t>建设国际信息产业和数字贸易港，</w:t>
      </w:r>
      <w:bookmarkEnd w:id="10"/>
      <w:bookmarkStart w:id="11" w:name="_Hlk80562370"/>
      <w:r>
        <w:rPr>
          <w:rFonts w:hint="eastAsia" w:ascii="仿宋_GB2312" w:hAnsi="仿宋"/>
          <w:color w:val="auto"/>
          <w:sz w:val="32"/>
          <w:szCs w:val="32"/>
          <w:highlight w:val="none"/>
        </w:rPr>
        <w:t>探索数字领域的国际合作与国际规则制定</w:t>
      </w:r>
      <w:bookmarkEnd w:id="11"/>
      <w:r>
        <w:rPr>
          <w:rFonts w:hint="eastAsia" w:ascii="仿宋_GB2312" w:hAnsi="仿宋"/>
          <w:color w:val="auto"/>
          <w:sz w:val="32"/>
          <w:szCs w:val="32"/>
          <w:highlight w:val="none"/>
        </w:rPr>
        <w:t>，争取在数据跨境传输、数字产品安全检测与认证、数据服务市场安全有序开放等领域实现互惠互利、合作共赢。</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【数字贸易园区】自贸试验区结合各区域实际，建设中关村国家数字服务出口基地、贸易数字化示范区等数字贸易园区。推动数字贸易企业集聚，促进数字服务业发展。</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数字化监管】自贸试验区发挥区块链等数字技术优势，规范跨境贸易的合规性，保障跨境贸易服务的信息化、数字化发展。鼓励监管机构开展监管模式技术性改革，在自贸试验区内探索数字化、无纸化、高效便捷的监管模式。</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新业态新模式新场景】鼓励自贸试验区企业发展数字经济新业态新模式，推动数字技术融合应用和企业数字化转型发展。鼓励自贸试验区推进智慧街区和楼宇示范建设，开展公共设施的数字化改造和智慧化升级。</w:t>
      </w:r>
    </w:p>
    <w:p>
      <w:pPr>
        <w:pStyle w:val="13"/>
        <w:snapToGrid w:val="0"/>
        <w:spacing w:line="560" w:lineRule="exact"/>
        <w:ind w:left="440" w:firstLine="0" w:firstLineChars="0"/>
        <w:rPr>
          <w:rFonts w:ascii="仿宋_GB2312" w:hAnsi="微软雅黑"/>
          <w:color w:val="auto"/>
          <w:sz w:val="22"/>
          <w:highlight w:val="none"/>
        </w:rPr>
      </w:pPr>
    </w:p>
    <w:p>
      <w:pPr>
        <w:pStyle w:val="2"/>
        <w:spacing w:line="560" w:lineRule="exact"/>
        <w:rPr>
          <w:rFonts w:hint="eastAsia" w:eastAsia="黑体"/>
          <w:color w:val="auto"/>
          <w:highlight w:val="none"/>
          <w:lang w:eastAsia="zh-CN"/>
        </w:rPr>
      </w:pPr>
      <w:r>
        <w:rPr>
          <w:rFonts w:hint="eastAsia"/>
          <w:color w:val="auto"/>
          <w:highlight w:val="none"/>
        </w:rPr>
        <w:t>第六章</w:t>
      </w:r>
      <w:r>
        <w:rPr>
          <w:color w:val="auto"/>
          <w:highlight w:val="none"/>
        </w:rPr>
        <w:t xml:space="preserve"> </w:t>
      </w:r>
      <w:r>
        <w:rPr>
          <w:rFonts w:hint="eastAsia"/>
          <w:color w:val="auto"/>
          <w:highlight w:val="none"/>
        </w:rPr>
        <w:t>金融服务</w:t>
      </w:r>
    </w:p>
    <w:p>
      <w:pPr>
        <w:pStyle w:val="13"/>
        <w:numPr>
          <w:ilvl w:val="0"/>
          <w:numId w:val="1"/>
        </w:numPr>
        <w:wordWrap/>
        <w:adjustRightInd/>
        <w:snapToGrid w:val="0"/>
        <w:spacing w:line="560" w:lineRule="exact"/>
        <w:ind w:firstLine="640"/>
        <w:textAlignment w:val="auto"/>
        <w:rPr>
          <w:rFonts w:hint="eastAsia" w:ascii="仿宋_GB2312" w:hAnsi="仿宋"/>
          <w:color w:val="auto"/>
          <w:sz w:val="32"/>
          <w:szCs w:val="32"/>
          <w:highlight w:val="none"/>
        </w:rPr>
      </w:pPr>
      <w:r>
        <w:rPr>
          <w:rFonts w:hint="eastAsia" w:ascii="仿宋_GB2312" w:hAnsi="仿宋"/>
          <w:color w:val="auto"/>
          <w:sz w:val="32"/>
          <w:szCs w:val="32"/>
          <w:highlight w:val="none"/>
          <w:lang w:eastAsia="zh-CN"/>
        </w:rPr>
        <w:t>【创新金融服务】</w:t>
      </w:r>
      <w:r>
        <w:rPr>
          <w:rFonts w:hint="eastAsia" w:ascii="仿宋_GB2312" w:hAnsi="仿宋"/>
          <w:color w:val="auto"/>
          <w:sz w:val="32"/>
          <w:szCs w:val="32"/>
          <w:highlight w:val="none"/>
        </w:rPr>
        <w:t>自贸试验区坚持金融服务实体经济，推进金融改革创新，率先落实金融业开放先行先试政策。</w:t>
      </w:r>
    </w:p>
    <w:p>
      <w:pPr>
        <w:pStyle w:val="13"/>
        <w:numPr>
          <w:ilvl w:val="0"/>
          <w:numId w:val="1"/>
        </w:numPr>
        <w:wordWrap/>
        <w:adjustRightInd/>
        <w:snapToGrid w:val="0"/>
        <w:spacing w:line="560" w:lineRule="exact"/>
        <w:ind w:firstLine="640"/>
        <w:textAlignment w:val="auto"/>
        <w:rPr>
          <w:rFonts w:hint="eastAsia" w:ascii="仿宋_GB2312" w:hAnsi="仿宋"/>
          <w:color w:val="auto"/>
          <w:sz w:val="32"/>
          <w:szCs w:val="32"/>
          <w:highlight w:val="none"/>
          <w:lang w:eastAsia="zh-CN"/>
        </w:rPr>
      </w:pPr>
      <w:r>
        <w:rPr>
          <w:rFonts w:hint="eastAsia" w:ascii="仿宋_GB2312" w:hAnsi="仿宋"/>
          <w:color w:val="auto"/>
          <w:sz w:val="32"/>
          <w:szCs w:val="32"/>
          <w:highlight w:val="none"/>
          <w:lang w:eastAsia="zh-CN"/>
        </w:rPr>
        <w:t>【吸引金融机构】自贸试验区鼓励建设各类金融法人机构、专业子公司等机构，支持科创金融、绿色金融、数字金融、跨境金融、离岸金融、财富管理、养老金融等业态发展。鼓励国际金融组织集聚发展。</w:t>
      </w:r>
    </w:p>
    <w:p>
      <w:pPr>
        <w:pStyle w:val="6"/>
        <w:widowControl/>
        <w:wordWrap/>
        <w:adjustRightInd/>
        <w:snapToGrid/>
        <w:spacing w:before="0" w:beforeAutospacing="0" w:after="0" w:afterAutospacing="0" w:line="560" w:lineRule="exact"/>
        <w:ind w:left="0" w:leftChars="0" w:right="0" w:firstLine="700" w:firstLineChars="200"/>
        <w:jc w:val="both"/>
        <w:textAlignment w:val="auto"/>
        <w:outlineLvl w:val="9"/>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鼓励外资金融机构在区内设立或参股证券、基金、期货、人身险公司、银行理财子公司、保险资产管理公司、养老金管理公司、金融资产投资公司等。</w:t>
      </w:r>
    </w:p>
    <w:p>
      <w:pPr>
        <w:pStyle w:val="6"/>
        <w:widowControl/>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微软雅黑" w:eastAsia="仿宋_GB2312"/>
          <w:sz w:val="32"/>
          <w:szCs w:val="32"/>
        </w:rPr>
      </w:pPr>
      <w:r>
        <w:rPr>
          <w:rFonts w:hint="eastAsia" w:ascii="仿宋_GB2312" w:hAnsi="微软雅黑" w:eastAsia="仿宋_GB2312"/>
          <w:sz w:val="32"/>
          <w:szCs w:val="32"/>
        </w:rPr>
        <w:t>鼓励各类金融机构在区内进行金融产品、业务、服务和管理创新。</w:t>
      </w:r>
    </w:p>
    <w:p>
      <w:pPr>
        <w:pStyle w:val="13"/>
        <w:numPr>
          <w:ilvl w:val="0"/>
          <w:numId w:val="1"/>
        </w:numPr>
        <w:wordWrap/>
        <w:adjustRightInd/>
        <w:snapToGrid w:val="0"/>
        <w:spacing w:line="560" w:lineRule="exact"/>
        <w:ind w:firstLine="640"/>
        <w:textAlignment w:val="auto"/>
        <w:rPr>
          <w:rFonts w:hint="eastAsia" w:ascii="仿宋_GB2312" w:hAnsi="仿宋" w:eastAsia="仿宋_GB2312"/>
          <w:sz w:val="32"/>
          <w:szCs w:val="32"/>
        </w:rPr>
      </w:pPr>
      <w:r>
        <w:rPr>
          <w:rFonts w:hint="eastAsia" w:ascii="仿宋_GB2312" w:hAnsi="仿宋"/>
          <w:color w:val="auto"/>
          <w:sz w:val="32"/>
          <w:szCs w:val="32"/>
          <w:highlight w:val="none"/>
          <w:lang w:eastAsia="zh-CN"/>
        </w:rPr>
        <w:t>【金融基础设施建设】自贸试验区加强金融基础设施和服务平台建设。</w:t>
      </w:r>
      <w:r>
        <w:rPr>
          <w:rFonts w:hint="eastAsia" w:ascii="仿宋_GB2312" w:hAnsi="微软雅黑" w:eastAsia="仿宋_GB2312"/>
          <w:sz w:val="32"/>
          <w:szCs w:val="32"/>
        </w:rPr>
        <w:t>承接国家重要金融基础设施建设运营</w:t>
      </w:r>
      <w:r>
        <w:rPr>
          <w:rFonts w:hint="eastAsia" w:ascii="仿宋_GB2312" w:hAnsi="微软雅黑"/>
          <w:sz w:val="32"/>
          <w:szCs w:val="32"/>
          <w:lang w:eastAsia="zh-CN"/>
        </w:rPr>
        <w:t>。</w:t>
      </w:r>
      <w:r>
        <w:rPr>
          <w:rFonts w:hint="eastAsia" w:ascii="仿宋_GB2312" w:hAnsi="仿宋" w:eastAsia="仿宋_GB2312"/>
          <w:sz w:val="32"/>
          <w:szCs w:val="32"/>
          <w:lang w:eastAsia="zh-CN"/>
        </w:rPr>
        <w:t>鼓励</w:t>
      </w:r>
      <w:r>
        <w:rPr>
          <w:rFonts w:hint="eastAsia" w:ascii="仿宋_GB2312" w:hAnsi="仿宋" w:eastAsia="仿宋_GB2312"/>
          <w:sz w:val="32"/>
          <w:szCs w:val="32"/>
        </w:rPr>
        <w:t>金融机构在区内完善基础设施布局，强化金融机构总部的资金管理和支付清算枢纽作用</w:t>
      </w:r>
      <w:r>
        <w:rPr>
          <w:rFonts w:hint="eastAsia" w:ascii="仿宋_GB2312" w:hAnsi="仿宋"/>
          <w:sz w:val="32"/>
          <w:szCs w:val="32"/>
          <w:lang w:eastAsia="zh-CN"/>
        </w:rPr>
        <w:t>。</w:t>
      </w:r>
      <w:r>
        <w:rPr>
          <w:rFonts w:hint="eastAsia" w:ascii="仿宋_GB2312" w:hAnsi="仿宋" w:eastAsia="仿宋_GB2312"/>
          <w:sz w:val="32"/>
          <w:szCs w:val="32"/>
          <w:lang w:eastAsia="zh-CN"/>
        </w:rPr>
        <w:t>鼓励</w:t>
      </w:r>
      <w:r>
        <w:rPr>
          <w:rFonts w:hint="eastAsia" w:ascii="仿宋_GB2312" w:hAnsi="仿宋"/>
          <w:sz w:val="32"/>
          <w:szCs w:val="32"/>
          <w:lang w:eastAsia="zh-CN"/>
        </w:rPr>
        <w:t>建设</w:t>
      </w:r>
      <w:r>
        <w:rPr>
          <w:rFonts w:hint="eastAsia" w:ascii="仿宋_GB2312" w:hAnsi="仿宋" w:eastAsia="仿宋_GB2312"/>
          <w:sz w:val="32"/>
          <w:szCs w:val="32"/>
        </w:rPr>
        <w:t>支付清算类国家金融基础设施，推动设立</w:t>
      </w:r>
      <w:r>
        <w:rPr>
          <w:rFonts w:hint="eastAsia" w:ascii="仿宋_GB2312" w:hAnsi="仿宋"/>
          <w:sz w:val="32"/>
          <w:szCs w:val="32"/>
          <w:lang w:eastAsia="zh-CN"/>
        </w:rPr>
        <w:t>并完善</w:t>
      </w:r>
      <w:r>
        <w:rPr>
          <w:rFonts w:hint="eastAsia" w:ascii="仿宋_GB2312" w:hAnsi="仿宋" w:eastAsia="仿宋_GB2312"/>
          <w:sz w:val="32"/>
          <w:szCs w:val="32"/>
        </w:rPr>
        <w:t>本外币合一的支付清算系统和平台。</w:t>
      </w:r>
    </w:p>
    <w:p>
      <w:pPr>
        <w:pStyle w:val="13"/>
        <w:numPr>
          <w:ilvl w:val="0"/>
          <w:numId w:val="1"/>
        </w:numPr>
        <w:wordWrap/>
        <w:adjustRightInd/>
        <w:snapToGrid w:val="0"/>
        <w:spacing w:line="560" w:lineRule="exact"/>
        <w:ind w:firstLine="640"/>
        <w:textAlignment w:val="auto"/>
        <w:rPr>
          <w:rFonts w:hint="eastAsia" w:ascii="仿宋_GB2312" w:hAnsi="仿宋"/>
          <w:color w:val="auto"/>
          <w:sz w:val="32"/>
          <w:szCs w:val="32"/>
          <w:highlight w:val="none"/>
          <w:lang w:eastAsia="zh-CN"/>
        </w:rPr>
      </w:pPr>
      <w:r>
        <w:rPr>
          <w:rFonts w:hint="eastAsia" w:ascii="仿宋_GB2312" w:hAnsi="仿宋"/>
          <w:color w:val="auto"/>
          <w:sz w:val="32"/>
          <w:szCs w:val="32"/>
          <w:highlight w:val="none"/>
          <w:lang w:eastAsia="zh-CN"/>
        </w:rPr>
        <w:t>【科创金融】自贸试验区推动北京国际科技创新中心建设。鼓励金融机构在区内设立服务科技创新企业的科技金融特色分支行、科技金融事业部等专营机构，鼓励保险公司创新科技保险产品。鼓励金融资产投资公司依托附属机构，开展不以债转股为目的的股权投资、直接投资等支持科创企业的业务。鼓励保险资金投资中关村未上市科创企业。健全完善股权投资和创业投资份额转让平台，鼓励跨境私募股权二级市场基金和境外私募基金在平台交易。鼓励全球股权投资和创业投资中心建设。</w:t>
      </w:r>
      <w:bookmarkStart w:id="20" w:name="_GoBack"/>
      <w:bookmarkEnd w:id="20"/>
    </w:p>
    <w:p>
      <w:pPr>
        <w:pStyle w:val="13"/>
        <w:numPr>
          <w:ilvl w:val="0"/>
          <w:numId w:val="1"/>
        </w:numPr>
        <w:wordWrap/>
        <w:adjustRightInd/>
        <w:snapToGrid w:val="0"/>
        <w:spacing w:line="560" w:lineRule="exact"/>
        <w:ind w:firstLine="640"/>
        <w:textAlignment w:val="auto"/>
        <w:rPr>
          <w:rFonts w:hint="eastAsia" w:ascii="仿宋_GB2312" w:hAnsi="仿宋"/>
          <w:color w:val="auto"/>
          <w:sz w:val="32"/>
          <w:szCs w:val="32"/>
          <w:highlight w:val="none"/>
          <w:lang w:eastAsia="zh-CN"/>
        </w:rPr>
      </w:pPr>
      <w:r>
        <w:rPr>
          <w:rFonts w:hint="eastAsia" w:ascii="仿宋_GB2312" w:hAnsi="仿宋"/>
          <w:color w:val="auto"/>
          <w:sz w:val="32"/>
          <w:szCs w:val="32"/>
          <w:highlight w:val="none"/>
          <w:lang w:val="en-US" w:eastAsia="zh-CN"/>
        </w:rPr>
        <w:t>【绿色金融】</w:t>
      </w:r>
      <w:r>
        <w:rPr>
          <w:rFonts w:hint="eastAsia" w:ascii="仿宋_GB2312" w:hAnsi="仿宋"/>
          <w:color w:val="auto"/>
          <w:sz w:val="32"/>
          <w:szCs w:val="32"/>
          <w:highlight w:val="none"/>
          <w:lang w:eastAsia="zh-CN"/>
        </w:rPr>
        <w:t xml:space="preserve">自贸试验区促进绿色金融国际中心建设。 </w:t>
      </w:r>
    </w:p>
    <w:p>
      <w:pPr>
        <w:wordWrap/>
        <w:adjustRightInd/>
        <w:spacing w:line="560" w:lineRule="exact"/>
        <w:ind w:firstLine="640" w:firstLineChars="200"/>
        <w:textAlignment w:val="auto"/>
        <w:rPr>
          <w:rFonts w:hint="eastAsia" w:ascii="仿宋_GB2312" w:eastAsia="仿宋_GB2312"/>
          <w:sz w:val="32"/>
          <w:szCs w:val="32"/>
          <w:lang w:eastAsia="zh-CN"/>
        </w:rPr>
      </w:pPr>
      <w:r>
        <w:rPr>
          <w:rFonts w:hint="eastAsia" w:ascii="仿宋_GB2312"/>
          <w:sz w:val="32"/>
          <w:szCs w:val="32"/>
          <w:lang w:eastAsia="zh-CN"/>
        </w:rPr>
        <w:t>鼓励</w:t>
      </w:r>
      <w:r>
        <w:rPr>
          <w:rFonts w:hint="eastAsia" w:ascii="仿宋_GB2312" w:eastAsia="仿宋_GB2312"/>
          <w:sz w:val="32"/>
          <w:szCs w:val="32"/>
        </w:rPr>
        <w:t>建设绿色金融改革创新试验区,</w:t>
      </w:r>
      <w:r>
        <w:rPr>
          <w:rFonts w:hint="eastAsia" w:ascii="仿宋_GB2312"/>
          <w:sz w:val="32"/>
          <w:szCs w:val="32"/>
          <w:lang w:eastAsia="zh-CN"/>
        </w:rPr>
        <w:t>吸引</w:t>
      </w:r>
      <w:r>
        <w:rPr>
          <w:rFonts w:hint="eastAsia" w:ascii="仿宋_GB2312" w:eastAsia="仿宋_GB2312"/>
          <w:sz w:val="32"/>
          <w:szCs w:val="32"/>
        </w:rPr>
        <w:t>培育绿色金融机构，打造高效绿色金融服务体系，提升绿色金融国际影响力</w:t>
      </w:r>
      <w:r>
        <w:rPr>
          <w:rFonts w:hint="eastAsia" w:ascii="仿宋_GB2312"/>
          <w:sz w:val="32"/>
          <w:szCs w:val="32"/>
          <w:lang w:eastAsia="zh-CN"/>
        </w:rPr>
        <w:t>。</w:t>
      </w:r>
    </w:p>
    <w:p>
      <w:pPr>
        <w:wordWrap/>
        <w:adjustRightIn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建设高水平、国际化的北京绿色交易所，</w:t>
      </w:r>
      <w:r>
        <w:rPr>
          <w:rFonts w:hint="eastAsia" w:ascii="仿宋_GB2312"/>
          <w:sz w:val="32"/>
          <w:szCs w:val="32"/>
          <w:lang w:eastAsia="zh-CN"/>
        </w:rPr>
        <w:t>建设</w:t>
      </w:r>
      <w:r>
        <w:rPr>
          <w:rFonts w:hint="eastAsia" w:ascii="仿宋_GB2312" w:eastAsia="仿宋_GB2312"/>
          <w:sz w:val="32"/>
          <w:szCs w:val="32"/>
        </w:rPr>
        <w:t>全国自愿减排等碳交易中心</w:t>
      </w:r>
      <w:r>
        <w:rPr>
          <w:rFonts w:hint="eastAsia" w:ascii="仿宋_GB2312"/>
          <w:sz w:val="32"/>
          <w:szCs w:val="32"/>
          <w:lang w:eastAsia="zh-CN"/>
        </w:rPr>
        <w:t>，</w:t>
      </w:r>
      <w:r>
        <w:rPr>
          <w:rFonts w:hint="eastAsia" w:ascii="仿宋_GB2312" w:eastAsia="仿宋_GB2312"/>
          <w:sz w:val="32"/>
          <w:szCs w:val="32"/>
        </w:rPr>
        <w:t>在碳排放权交易试点基础上，扩大覆盖行业范围，丰富碳交易产品</w:t>
      </w:r>
      <w:r>
        <w:rPr>
          <w:rFonts w:hint="eastAsia" w:ascii="仿宋_GB2312"/>
          <w:sz w:val="32"/>
          <w:szCs w:val="32"/>
          <w:lang w:eastAsia="zh-CN"/>
        </w:rPr>
        <w:t>。</w:t>
      </w:r>
    </w:p>
    <w:p>
      <w:pPr>
        <w:wordWrap/>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参与制定和应用国际领先的绿色金融标准，</w:t>
      </w:r>
      <w:r>
        <w:rPr>
          <w:rFonts w:hint="eastAsia" w:ascii="仿宋_GB2312"/>
          <w:sz w:val="32"/>
          <w:szCs w:val="32"/>
          <w:highlight w:val="none"/>
          <w:lang w:eastAsia="zh-CN"/>
        </w:rPr>
        <w:t>鼓励</w:t>
      </w:r>
      <w:r>
        <w:rPr>
          <w:rFonts w:hint="eastAsia" w:ascii="仿宋_GB2312" w:eastAsia="仿宋_GB2312"/>
          <w:sz w:val="32"/>
          <w:szCs w:val="32"/>
          <w:highlight w:val="none"/>
        </w:rPr>
        <w:t>绿色金融评级机构发展，建设国际绿色金融标准中心</w:t>
      </w:r>
      <w:r>
        <w:rPr>
          <w:rFonts w:hint="eastAsia" w:ascii="仿宋_GB2312"/>
          <w:sz w:val="32"/>
          <w:szCs w:val="32"/>
          <w:highlight w:val="none"/>
          <w:lang w:eastAsia="zh-CN"/>
        </w:rPr>
        <w:t>，鼓励</w:t>
      </w:r>
      <w:r>
        <w:rPr>
          <w:rFonts w:hint="eastAsia" w:ascii="仿宋_GB2312" w:eastAsia="仿宋_GB2312"/>
          <w:sz w:val="32"/>
          <w:szCs w:val="32"/>
          <w:highlight w:val="none"/>
        </w:rPr>
        <w:t>第三方服务机构发布</w:t>
      </w:r>
      <w:r>
        <w:rPr>
          <w:rFonts w:hint="eastAsia" w:ascii="仿宋_GB2312"/>
          <w:sz w:val="32"/>
          <w:szCs w:val="32"/>
          <w:highlight w:val="none"/>
          <w:lang w:eastAsia="zh-CN"/>
        </w:rPr>
        <w:t>环境社会治理</w:t>
      </w:r>
      <w:r>
        <w:rPr>
          <w:rFonts w:hint="eastAsia" w:ascii="仿宋_GB2312" w:eastAsia="仿宋_GB2312"/>
          <w:sz w:val="32"/>
          <w:szCs w:val="32"/>
          <w:highlight w:val="none"/>
        </w:rPr>
        <w:t>中国指数，提供</w:t>
      </w:r>
      <w:r>
        <w:rPr>
          <w:rFonts w:hint="eastAsia" w:ascii="仿宋_GB2312"/>
          <w:sz w:val="32"/>
          <w:szCs w:val="32"/>
          <w:highlight w:val="none"/>
          <w:lang w:eastAsia="zh-CN"/>
        </w:rPr>
        <w:t>环境社会治理</w:t>
      </w:r>
      <w:r>
        <w:rPr>
          <w:rFonts w:hint="eastAsia" w:ascii="仿宋_GB2312" w:eastAsia="仿宋_GB2312"/>
          <w:sz w:val="32"/>
          <w:szCs w:val="32"/>
          <w:highlight w:val="none"/>
        </w:rPr>
        <w:t>投资的中国标准，研发</w:t>
      </w:r>
      <w:r>
        <w:rPr>
          <w:rFonts w:hint="eastAsia" w:ascii="仿宋_GB2312"/>
          <w:sz w:val="32"/>
          <w:szCs w:val="32"/>
          <w:highlight w:val="none"/>
          <w:lang w:eastAsia="zh-CN"/>
        </w:rPr>
        <w:t>环境社会治理金融</w:t>
      </w:r>
      <w:r>
        <w:rPr>
          <w:rFonts w:hint="eastAsia" w:ascii="仿宋_GB2312" w:eastAsia="仿宋_GB2312"/>
          <w:sz w:val="32"/>
          <w:szCs w:val="32"/>
          <w:highlight w:val="none"/>
        </w:rPr>
        <w:t>产品</w:t>
      </w:r>
      <w:r>
        <w:rPr>
          <w:rFonts w:hint="eastAsia" w:ascii="仿宋_GB2312"/>
          <w:sz w:val="32"/>
          <w:szCs w:val="32"/>
          <w:highlight w:val="none"/>
          <w:lang w:eastAsia="zh-CN"/>
        </w:rPr>
        <w:t>。</w:t>
      </w:r>
    </w:p>
    <w:p>
      <w:pPr>
        <w:pStyle w:val="6"/>
        <w:wordWrap/>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kern w:val="2"/>
          <w:sz w:val="32"/>
          <w:szCs w:val="32"/>
          <w:highlight w:val="none"/>
          <w:lang w:eastAsia="zh-CN"/>
        </w:rPr>
      </w:pPr>
      <w:r>
        <w:rPr>
          <w:rFonts w:hint="eastAsia" w:ascii="仿宋_GB2312" w:hAnsi="Calibri" w:eastAsia="仿宋_GB2312" w:cs="Times New Roman"/>
          <w:kern w:val="2"/>
          <w:sz w:val="32"/>
          <w:szCs w:val="32"/>
          <w:highlight w:val="none"/>
          <w:lang w:eastAsia="zh-CN"/>
        </w:rPr>
        <w:t>鼓励</w:t>
      </w:r>
      <w:r>
        <w:rPr>
          <w:rFonts w:hint="eastAsia" w:ascii="仿宋_GB2312" w:hAnsi="Calibri" w:eastAsia="仿宋_GB2312" w:cs="Times New Roman"/>
          <w:kern w:val="2"/>
          <w:sz w:val="32"/>
          <w:szCs w:val="32"/>
          <w:highlight w:val="none"/>
        </w:rPr>
        <w:t>绿色债券交易市场发展，编制绿色债券指数，</w:t>
      </w:r>
      <w:r>
        <w:rPr>
          <w:rFonts w:hint="eastAsia" w:ascii="仿宋_GB2312" w:hAnsi="Calibri" w:eastAsia="仿宋_GB2312" w:cs="Times New Roman"/>
          <w:kern w:val="2"/>
          <w:sz w:val="32"/>
          <w:szCs w:val="32"/>
          <w:highlight w:val="none"/>
          <w:lang w:eastAsia="zh-CN"/>
        </w:rPr>
        <w:t>鼓励</w:t>
      </w:r>
      <w:r>
        <w:rPr>
          <w:rFonts w:hint="eastAsia" w:ascii="仿宋_GB2312" w:hAnsi="Calibri" w:eastAsia="仿宋_GB2312" w:cs="Times New Roman"/>
          <w:kern w:val="2"/>
          <w:sz w:val="32"/>
          <w:szCs w:val="32"/>
          <w:highlight w:val="none"/>
        </w:rPr>
        <w:t>国际绿色债券认证机构</w:t>
      </w:r>
      <w:r>
        <w:rPr>
          <w:rFonts w:hint="eastAsia" w:ascii="仿宋_GB2312" w:hAnsi="Calibri" w:eastAsia="仿宋_GB2312" w:cs="Times New Roman"/>
          <w:kern w:val="2"/>
          <w:sz w:val="32"/>
          <w:szCs w:val="32"/>
          <w:highlight w:val="none"/>
          <w:lang w:eastAsia="zh-CN"/>
        </w:rPr>
        <w:t>建设</w:t>
      </w:r>
      <w:r>
        <w:rPr>
          <w:rFonts w:hint="eastAsia" w:ascii="仿宋_GB2312" w:hAnsi="Calibri" w:eastAsia="仿宋_GB2312" w:cs="Times New Roman"/>
          <w:kern w:val="2"/>
          <w:sz w:val="32"/>
          <w:szCs w:val="32"/>
          <w:highlight w:val="none"/>
        </w:rPr>
        <w:t>，打造绿色债券交易中心</w:t>
      </w:r>
      <w:r>
        <w:rPr>
          <w:rFonts w:hint="eastAsia" w:ascii="仿宋_GB2312" w:hAnsi="Calibri" w:eastAsia="仿宋_GB2312" w:cs="Times New Roman"/>
          <w:kern w:val="2"/>
          <w:sz w:val="32"/>
          <w:szCs w:val="32"/>
          <w:highlight w:val="none"/>
          <w:lang w:eastAsia="zh-CN"/>
        </w:rPr>
        <w:t>。</w:t>
      </w:r>
    </w:p>
    <w:p>
      <w:pPr>
        <w:pStyle w:val="6"/>
        <w:wordWrap/>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kern w:val="2"/>
          <w:sz w:val="32"/>
          <w:szCs w:val="32"/>
          <w:highlight w:val="none"/>
        </w:rPr>
      </w:pPr>
      <w:r>
        <w:rPr>
          <w:rFonts w:hint="eastAsia" w:ascii="仿宋_GB2312" w:hAnsi="Calibri" w:eastAsia="仿宋_GB2312" w:cs="Times New Roman"/>
          <w:kern w:val="2"/>
          <w:sz w:val="32"/>
          <w:szCs w:val="32"/>
          <w:highlight w:val="none"/>
          <w:lang w:eastAsia="zh-CN"/>
        </w:rPr>
        <w:t>鼓励区内</w:t>
      </w:r>
      <w:r>
        <w:rPr>
          <w:rFonts w:hint="eastAsia" w:ascii="仿宋_GB2312" w:hAnsi="Calibri" w:eastAsia="仿宋_GB2312" w:cs="Times New Roman"/>
          <w:kern w:val="2"/>
          <w:sz w:val="32"/>
          <w:szCs w:val="32"/>
          <w:highlight w:val="none"/>
        </w:rPr>
        <w:t>金融机构</w:t>
      </w:r>
      <w:r>
        <w:rPr>
          <w:rFonts w:hint="eastAsia" w:ascii="仿宋_GB2312" w:hAnsi="Calibri" w:eastAsia="仿宋_GB2312" w:cs="Times New Roman"/>
          <w:kern w:val="2"/>
          <w:sz w:val="32"/>
          <w:szCs w:val="32"/>
          <w:highlight w:val="none"/>
          <w:lang w:eastAsia="zh-CN"/>
        </w:rPr>
        <w:t>探索</w:t>
      </w:r>
      <w:r>
        <w:rPr>
          <w:rFonts w:hint="eastAsia" w:ascii="仿宋_GB2312" w:hAnsi="Calibri" w:eastAsia="仿宋_GB2312" w:cs="Times New Roman"/>
          <w:kern w:val="2"/>
          <w:sz w:val="32"/>
          <w:szCs w:val="32"/>
          <w:highlight w:val="none"/>
        </w:rPr>
        <w:t>开展跨境绿色信贷资产证券化，发行承销跨境绿色债券、绿色基础设施不动产投资信托基金，开展跨境股权投融资等业务。</w:t>
      </w:r>
    </w:p>
    <w:p>
      <w:pPr>
        <w:pStyle w:val="13"/>
        <w:numPr>
          <w:ilvl w:val="0"/>
          <w:numId w:val="1"/>
        </w:numPr>
        <w:wordWrap/>
        <w:adjustRightInd/>
        <w:snapToGrid w:val="0"/>
        <w:spacing w:line="560" w:lineRule="exact"/>
        <w:ind w:firstLine="640"/>
        <w:textAlignment w:val="auto"/>
        <w:rPr>
          <w:rFonts w:hint="eastAsia" w:ascii="仿宋_GB2312" w:hAnsi="仿宋"/>
          <w:color w:val="auto"/>
          <w:sz w:val="32"/>
          <w:szCs w:val="32"/>
          <w:highlight w:val="none"/>
          <w:lang w:val="en-US" w:eastAsia="zh-CN"/>
        </w:rPr>
      </w:pPr>
      <w:r>
        <w:rPr>
          <w:rFonts w:hint="eastAsia" w:ascii="仿宋_GB2312" w:hAnsi="仿宋"/>
          <w:color w:val="auto"/>
          <w:sz w:val="32"/>
          <w:szCs w:val="32"/>
          <w:highlight w:val="none"/>
          <w:lang w:val="en-US" w:eastAsia="zh-CN"/>
        </w:rPr>
        <w:t>【金融科技】自贸试验区鼓励支付清算、登记托管、征信评级、资产交易、数据管理等金融科技重大项目建设。推动建设法定数字货币试验区和数字金融体系。建设金融科技应用场景试验区，鼓励商业银行、保险公司、证券公司等持牌金融机构在区内设立金融科技子公司，开展金融科技业务创新试点，支持符合条件的金融科技公司吸引创业投资并上市融资。</w:t>
      </w:r>
    </w:p>
    <w:p>
      <w:pPr>
        <w:pStyle w:val="13"/>
        <w:numPr>
          <w:ilvl w:val="0"/>
          <w:numId w:val="1"/>
        </w:numPr>
        <w:wordWrap/>
        <w:adjustRightInd/>
        <w:snapToGrid w:val="0"/>
        <w:spacing w:line="560" w:lineRule="exact"/>
        <w:ind w:firstLine="640"/>
        <w:textAlignment w:val="auto"/>
        <w:rPr>
          <w:rFonts w:hint="eastAsia" w:ascii="仿宋_GB2312" w:hAnsi="仿宋"/>
          <w:color w:val="auto"/>
          <w:sz w:val="32"/>
          <w:szCs w:val="32"/>
          <w:highlight w:val="none"/>
          <w:lang w:val="en-US" w:eastAsia="zh-CN"/>
        </w:rPr>
      </w:pPr>
      <w:r>
        <w:rPr>
          <w:rFonts w:hint="eastAsia" w:ascii="仿宋_GB2312" w:hAnsi="仿宋"/>
          <w:color w:val="auto"/>
          <w:sz w:val="32"/>
          <w:szCs w:val="32"/>
          <w:highlight w:val="none"/>
          <w:lang w:val="en-US" w:eastAsia="zh-CN"/>
        </w:rPr>
        <w:t>【</w:t>
      </w:r>
      <w:r>
        <w:rPr>
          <w:rFonts w:hint="eastAsia" w:ascii="仿宋_GB2312" w:hAnsi="仿宋"/>
          <w:color w:val="auto"/>
          <w:sz w:val="32"/>
          <w:szCs w:val="32"/>
          <w:highlight w:val="none"/>
        </w:rPr>
        <w:t>跨境资金流动</w:t>
      </w:r>
      <w:r>
        <w:rPr>
          <w:rFonts w:hint="eastAsia" w:ascii="仿宋_GB2312" w:hAnsi="仿宋"/>
          <w:color w:val="auto"/>
          <w:sz w:val="32"/>
          <w:szCs w:val="32"/>
          <w:highlight w:val="none"/>
          <w:lang w:val="en-US" w:eastAsia="zh-CN"/>
        </w:rPr>
        <w:t>】自贸试验区便利跨境资金流动，探索创新外汇管理体制，提升跨境贸易投资便利化水平。鼓励跨国公司开展跨境资金集中运营管理。稳步推进人民币资本项目可兑换、人民币跨境使用等方面的改革创新。发挥人民币国际投贷基金作用，开展人民币境外直接投资和人民币海外贷款业务。支持跨境人民币贸易融资转让服务平台发展。</w:t>
      </w:r>
    </w:p>
    <w:p>
      <w:pPr>
        <w:pStyle w:val="13"/>
        <w:numPr>
          <w:ilvl w:val="0"/>
          <w:numId w:val="1"/>
        </w:numPr>
        <w:wordWrap/>
        <w:adjustRightInd/>
        <w:snapToGrid w:val="0"/>
        <w:spacing w:line="560" w:lineRule="exact"/>
        <w:ind w:firstLine="640"/>
        <w:textAlignment w:val="auto"/>
        <w:rPr>
          <w:rFonts w:hint="eastAsia" w:ascii="仿宋_GB2312" w:hAnsi="仿宋"/>
          <w:color w:val="auto"/>
          <w:sz w:val="32"/>
          <w:szCs w:val="32"/>
          <w:highlight w:val="none"/>
          <w:lang w:val="en-US" w:eastAsia="zh-CN"/>
        </w:rPr>
      </w:pPr>
      <w:r>
        <w:rPr>
          <w:rFonts w:hint="eastAsia" w:ascii="仿宋_GB2312" w:hAnsi="仿宋"/>
          <w:color w:val="auto"/>
          <w:sz w:val="32"/>
          <w:szCs w:val="32"/>
          <w:highlight w:val="none"/>
          <w:lang w:val="en-US" w:eastAsia="zh-CN"/>
        </w:rPr>
        <w:t>【离岸金融】自贸试验区鼓励发展离岸金融业务。鼓励区内银行申请离岸银行业务资格。优化境外机构境内银行账户功能，建立并完善本外币合一的银行账户体系。鼓励区内金融机构丰富离岸金融产品，开展离岸证券、离岸基金、离岸托管等业务创新，丰富人民币离岸交易枢纽功能。</w:t>
      </w:r>
    </w:p>
    <w:p>
      <w:pPr>
        <w:pStyle w:val="13"/>
        <w:numPr>
          <w:ilvl w:val="0"/>
          <w:numId w:val="1"/>
        </w:numPr>
        <w:wordWrap/>
        <w:adjustRightInd/>
        <w:snapToGrid w:val="0"/>
        <w:spacing w:line="560" w:lineRule="exact"/>
        <w:ind w:firstLine="640"/>
        <w:textAlignment w:val="auto"/>
        <w:rPr>
          <w:rFonts w:hint="eastAsia" w:ascii="仿宋_GB2312" w:hAnsi="仿宋"/>
          <w:color w:val="auto"/>
          <w:sz w:val="32"/>
          <w:szCs w:val="32"/>
          <w:highlight w:val="none"/>
          <w:lang w:val="en-US" w:eastAsia="zh-CN"/>
        </w:rPr>
      </w:pPr>
      <w:r>
        <w:rPr>
          <w:rFonts w:hint="eastAsia" w:ascii="仿宋_GB2312" w:hAnsi="仿宋"/>
          <w:color w:val="auto"/>
          <w:sz w:val="32"/>
          <w:szCs w:val="32"/>
          <w:highlight w:val="none"/>
          <w:lang w:val="en-US" w:eastAsia="zh-CN"/>
        </w:rPr>
        <w:t>【“一带一路”金融合作】自贸试验区推动面向“一带一路”倡议的金融合作与开放。鼓励建设“一带一路”资产交易平台，为市场提供信息撮合、项目融资、国有产权流动、人民币跨境交易、风险管理等方面的服务。鼓励研发创新银行保险产品，加大与沿线国家金融合作。支持金融机构完善在沿线国家的业务布局，提升跨境金融服务水平。</w:t>
      </w:r>
    </w:p>
    <w:p>
      <w:pPr>
        <w:pStyle w:val="13"/>
        <w:numPr>
          <w:ilvl w:val="0"/>
          <w:numId w:val="1"/>
        </w:numPr>
        <w:wordWrap/>
        <w:adjustRightInd/>
        <w:snapToGrid w:val="0"/>
        <w:spacing w:line="560" w:lineRule="exact"/>
        <w:ind w:firstLine="640"/>
        <w:textAlignment w:val="auto"/>
        <w:rPr>
          <w:rFonts w:hint="eastAsia" w:ascii="仿宋_GB2312" w:hAnsi="仿宋" w:eastAsia="仿宋_GB2312" w:cs="宋体"/>
          <w:color w:val="auto"/>
          <w:kern w:val="2"/>
          <w:sz w:val="32"/>
          <w:szCs w:val="32"/>
          <w:highlight w:val="none"/>
          <w:lang w:val="en-US" w:eastAsia="zh-CN" w:bidi="ar-SA"/>
        </w:rPr>
      </w:pPr>
      <w:r>
        <w:rPr>
          <w:rFonts w:hint="eastAsia" w:ascii="仿宋_GB2312" w:hAnsi="仿宋"/>
          <w:color w:val="auto"/>
          <w:sz w:val="32"/>
          <w:szCs w:val="32"/>
          <w:highlight w:val="none"/>
          <w:lang w:val="en-US" w:eastAsia="zh-CN"/>
        </w:rPr>
        <w:t>【财富管理】自贸试验区</w:t>
      </w:r>
      <w:r>
        <w:rPr>
          <w:rFonts w:hint="eastAsia" w:ascii="仿宋_GB2312" w:hAnsi="仿宋" w:eastAsia="仿宋_GB2312" w:cs="宋体"/>
          <w:color w:val="auto"/>
          <w:kern w:val="2"/>
          <w:sz w:val="32"/>
          <w:szCs w:val="32"/>
          <w:highlight w:val="none"/>
          <w:lang w:val="en-US" w:eastAsia="zh-CN" w:bidi="ar-SA"/>
        </w:rPr>
        <w:t>鼓励金融机构开展全球资产配置，</w:t>
      </w:r>
      <w:r>
        <w:rPr>
          <w:rFonts w:hint="eastAsia" w:ascii="仿宋_GB2312" w:hAnsi="仿宋" w:cs="宋体"/>
          <w:color w:val="auto"/>
          <w:kern w:val="2"/>
          <w:sz w:val="32"/>
          <w:szCs w:val="32"/>
          <w:highlight w:val="none"/>
          <w:lang w:val="en-US" w:eastAsia="zh-CN" w:bidi="ar-SA"/>
        </w:rPr>
        <w:t>推动</w:t>
      </w:r>
      <w:r>
        <w:rPr>
          <w:rFonts w:hint="eastAsia" w:ascii="仿宋_GB2312" w:hAnsi="仿宋" w:eastAsia="仿宋_GB2312" w:cs="宋体"/>
          <w:color w:val="auto"/>
          <w:kern w:val="2"/>
          <w:sz w:val="32"/>
          <w:szCs w:val="32"/>
          <w:highlight w:val="none"/>
          <w:lang w:val="en-US" w:eastAsia="zh-CN" w:bidi="ar-SA"/>
        </w:rPr>
        <w:t>全球财富管理中心</w:t>
      </w:r>
      <w:r>
        <w:rPr>
          <w:rFonts w:hint="eastAsia" w:ascii="仿宋_GB2312" w:hAnsi="仿宋" w:cs="宋体"/>
          <w:color w:val="auto"/>
          <w:kern w:val="2"/>
          <w:sz w:val="32"/>
          <w:szCs w:val="32"/>
          <w:highlight w:val="none"/>
          <w:lang w:val="en-US" w:eastAsia="zh-CN" w:bidi="ar-SA"/>
        </w:rPr>
        <w:t>建设</w:t>
      </w:r>
      <w:r>
        <w:rPr>
          <w:rFonts w:hint="eastAsia" w:ascii="仿宋_GB2312" w:hAnsi="仿宋" w:eastAsia="仿宋_GB2312" w:cs="宋体"/>
          <w:color w:val="auto"/>
          <w:kern w:val="2"/>
          <w:sz w:val="32"/>
          <w:szCs w:val="32"/>
          <w:highlight w:val="none"/>
          <w:lang w:val="en-US" w:eastAsia="zh-CN" w:bidi="ar-SA"/>
        </w:rPr>
        <w:t>。支持境内外银行、保险、证券、基金、信托公司等在区内设立专业的财富管理机构。鼓励境内外优质私募基金、家族信托、家族办公室等机构</w:t>
      </w:r>
      <w:r>
        <w:rPr>
          <w:rFonts w:hint="eastAsia" w:ascii="仿宋_GB2312" w:hAnsi="仿宋" w:cs="宋体"/>
          <w:color w:val="auto"/>
          <w:kern w:val="2"/>
          <w:sz w:val="32"/>
          <w:szCs w:val="32"/>
          <w:highlight w:val="none"/>
          <w:lang w:val="en-US" w:eastAsia="zh-CN" w:bidi="ar-SA"/>
        </w:rPr>
        <w:t>在区内</w:t>
      </w:r>
      <w:r>
        <w:rPr>
          <w:rFonts w:hint="eastAsia" w:ascii="仿宋_GB2312" w:hAnsi="仿宋" w:eastAsia="仿宋_GB2312" w:cs="宋体"/>
          <w:color w:val="auto"/>
          <w:kern w:val="2"/>
          <w:sz w:val="32"/>
          <w:szCs w:val="32"/>
          <w:highlight w:val="none"/>
          <w:lang w:val="en-US" w:eastAsia="zh-CN" w:bidi="ar-SA"/>
        </w:rPr>
        <w:t>发展</w:t>
      </w:r>
      <w:r>
        <w:rPr>
          <w:rFonts w:hint="eastAsia" w:ascii="仿宋_GB2312" w:hAnsi="仿宋"/>
          <w:color w:val="auto"/>
          <w:sz w:val="32"/>
          <w:szCs w:val="32"/>
          <w:highlight w:val="none"/>
          <w:lang w:val="en-US" w:eastAsia="zh-CN"/>
        </w:rPr>
        <w:t xml:space="preserve">。 </w:t>
      </w:r>
    </w:p>
    <w:p>
      <w:pPr>
        <w:pStyle w:val="13"/>
        <w:numPr>
          <w:ilvl w:val="0"/>
          <w:numId w:val="1"/>
        </w:numPr>
        <w:wordWrap/>
        <w:adjustRightInd/>
        <w:snapToGrid w:val="0"/>
        <w:spacing w:line="560" w:lineRule="exact"/>
        <w:ind w:firstLine="640"/>
        <w:textAlignment w:val="auto"/>
        <w:rPr>
          <w:rFonts w:hint="eastAsia" w:ascii="仿宋_GB2312" w:hAnsi="仿宋" w:eastAsia="仿宋_GB2312"/>
          <w:sz w:val="32"/>
          <w:szCs w:val="32"/>
        </w:rPr>
      </w:pPr>
      <w:r>
        <w:rPr>
          <w:rFonts w:hint="eastAsia" w:ascii="仿宋_GB2312" w:hAnsi="仿宋"/>
          <w:color w:val="auto"/>
          <w:sz w:val="32"/>
          <w:szCs w:val="32"/>
          <w:highlight w:val="none"/>
          <w:lang w:val="en-US" w:eastAsia="zh-CN"/>
        </w:rPr>
        <w:t>【养老金融】自贸试验区鼓励</w:t>
      </w:r>
      <w:r>
        <w:rPr>
          <w:rFonts w:hint="eastAsia" w:ascii="仿宋_GB2312" w:hAnsi="仿宋" w:eastAsia="仿宋_GB2312" w:cs="宋体"/>
          <w:color w:val="auto"/>
          <w:kern w:val="2"/>
          <w:sz w:val="32"/>
          <w:szCs w:val="32"/>
          <w:highlight w:val="none"/>
          <w:lang w:val="en-US" w:eastAsia="zh-CN" w:bidi="ar-SA"/>
        </w:rPr>
        <w:t>符合条件的机构设立养老金管理公司。</w:t>
      </w:r>
      <w:r>
        <w:rPr>
          <w:rFonts w:hint="eastAsia" w:ascii="仿宋_GB2312" w:hAnsi="仿宋" w:cs="宋体"/>
          <w:color w:val="auto"/>
          <w:kern w:val="2"/>
          <w:sz w:val="32"/>
          <w:szCs w:val="32"/>
          <w:highlight w:val="none"/>
          <w:lang w:val="en-US" w:eastAsia="zh-CN" w:bidi="ar-SA"/>
        </w:rPr>
        <w:t>鼓励</w:t>
      </w:r>
      <w:r>
        <w:rPr>
          <w:rFonts w:hint="eastAsia" w:ascii="仿宋_GB2312" w:hAnsi="仿宋" w:eastAsia="仿宋_GB2312" w:cs="宋体"/>
          <w:color w:val="auto"/>
          <w:kern w:val="2"/>
          <w:sz w:val="32"/>
          <w:szCs w:val="32"/>
          <w:highlight w:val="none"/>
          <w:lang w:val="en-US" w:eastAsia="zh-CN" w:bidi="ar-SA"/>
        </w:rPr>
        <w:t>境外机构投资设立、参股养老金管理公司，允许国际知名养老金管理机构先行试点，完善第三支柱养老保险体系。</w:t>
      </w:r>
    </w:p>
    <w:p>
      <w:pPr>
        <w:pStyle w:val="13"/>
        <w:numPr>
          <w:ilvl w:val="0"/>
          <w:numId w:val="1"/>
        </w:numPr>
        <w:wordWrap/>
        <w:adjustRightInd/>
        <w:snapToGrid w:val="0"/>
        <w:spacing w:line="560" w:lineRule="exact"/>
        <w:ind w:firstLine="640"/>
        <w:textAlignment w:val="auto"/>
        <w:rPr>
          <w:rFonts w:hint="eastAsia" w:ascii="仿宋_GB2312" w:hAnsi="仿宋" w:eastAsia="仿宋_GB2312" w:cs="宋体"/>
          <w:color w:val="auto"/>
          <w:kern w:val="2"/>
          <w:sz w:val="32"/>
          <w:szCs w:val="32"/>
          <w:highlight w:val="none"/>
          <w:lang w:val="en-US" w:eastAsia="zh-CN" w:bidi="ar-SA"/>
        </w:rPr>
      </w:pPr>
      <w:r>
        <w:rPr>
          <w:rFonts w:hint="eastAsia" w:ascii="仿宋_GB2312" w:hAnsi="仿宋"/>
          <w:color w:val="auto"/>
          <w:sz w:val="32"/>
          <w:szCs w:val="32"/>
          <w:highlight w:val="none"/>
          <w:lang w:val="en-US" w:eastAsia="zh-CN"/>
        </w:rPr>
        <w:t>【再保险业务】</w:t>
      </w:r>
      <w:r>
        <w:rPr>
          <w:rFonts w:hint="eastAsia" w:ascii="仿宋_GB2312" w:hAnsi="仿宋" w:eastAsia="仿宋_GB2312" w:cs="宋体"/>
          <w:color w:val="auto"/>
          <w:kern w:val="2"/>
          <w:sz w:val="32"/>
          <w:szCs w:val="32"/>
          <w:highlight w:val="none"/>
          <w:lang w:val="en-US" w:eastAsia="zh-CN" w:bidi="ar-SA"/>
        </w:rPr>
        <w:t>自贸试验区</w:t>
      </w:r>
      <w:r>
        <w:rPr>
          <w:rFonts w:hint="eastAsia" w:ascii="仿宋_GB2312" w:hAnsi="仿宋" w:cs="宋体"/>
          <w:color w:val="auto"/>
          <w:kern w:val="2"/>
          <w:sz w:val="32"/>
          <w:szCs w:val="32"/>
          <w:highlight w:val="none"/>
          <w:lang w:val="en-US" w:eastAsia="zh-CN" w:bidi="ar-SA"/>
        </w:rPr>
        <w:t>鼓励</w:t>
      </w:r>
      <w:r>
        <w:rPr>
          <w:rFonts w:hint="eastAsia" w:ascii="仿宋_GB2312" w:hAnsi="仿宋" w:eastAsia="仿宋_GB2312" w:cs="宋体"/>
          <w:color w:val="auto"/>
          <w:kern w:val="2"/>
          <w:sz w:val="32"/>
          <w:szCs w:val="32"/>
          <w:highlight w:val="none"/>
          <w:lang w:val="en-US" w:eastAsia="zh-CN" w:bidi="ar-SA"/>
        </w:rPr>
        <w:t>建设国际再保险中心。丰富再保险机构主体类型，吸引境内外保险集团、保险公司和再保险公司在区内设立再保险法人机构或再保险功能性机构，鼓励大型企业在区内设立自保公司。发展全球保单分入业务，增强区内再保险市场承接全球风险的能力。</w:t>
      </w:r>
      <w:r>
        <w:rPr>
          <w:rFonts w:hint="eastAsia" w:ascii="仿宋_GB2312" w:hAnsi="仿宋" w:cs="宋体"/>
          <w:color w:val="auto"/>
          <w:kern w:val="2"/>
          <w:sz w:val="32"/>
          <w:szCs w:val="32"/>
          <w:highlight w:val="none"/>
          <w:lang w:val="en-US" w:eastAsia="zh-CN" w:bidi="ar-SA"/>
        </w:rPr>
        <w:t>鼓励</w:t>
      </w:r>
      <w:r>
        <w:rPr>
          <w:rFonts w:hint="eastAsia" w:ascii="仿宋_GB2312" w:hAnsi="仿宋" w:eastAsia="仿宋_GB2312" w:cs="宋体"/>
          <w:color w:val="auto"/>
          <w:kern w:val="2"/>
          <w:sz w:val="32"/>
          <w:szCs w:val="32"/>
          <w:highlight w:val="none"/>
          <w:lang w:val="en-US" w:eastAsia="zh-CN" w:bidi="ar-SA"/>
        </w:rPr>
        <w:t>在区内设立再保险交易平台，积极发展国际再保险市场。</w:t>
      </w:r>
    </w:p>
    <w:p>
      <w:pPr>
        <w:pStyle w:val="13"/>
        <w:numPr>
          <w:ilvl w:val="0"/>
          <w:numId w:val="1"/>
        </w:numPr>
        <w:wordWrap/>
        <w:adjustRightInd/>
        <w:snapToGrid w:val="0"/>
        <w:spacing w:line="560" w:lineRule="exact"/>
        <w:ind w:firstLine="640"/>
        <w:textAlignment w:val="auto"/>
        <w:rPr>
          <w:rFonts w:ascii="仿宋_GB2312" w:hAnsi="仿宋"/>
          <w:color w:val="auto"/>
          <w:sz w:val="32"/>
          <w:szCs w:val="32"/>
          <w:highlight w:val="none"/>
        </w:rPr>
      </w:pPr>
      <w:r>
        <w:rPr>
          <w:rFonts w:hint="eastAsia" w:ascii="仿宋_GB2312" w:hAnsi="仿宋"/>
          <w:color w:val="auto"/>
          <w:sz w:val="32"/>
          <w:szCs w:val="32"/>
          <w:highlight w:val="none"/>
          <w:lang w:val="en-US" w:eastAsia="zh-CN"/>
        </w:rPr>
        <w:t>【金融风险监测预警】</w:t>
      </w:r>
      <w:r>
        <w:rPr>
          <w:rFonts w:hint="eastAsia" w:ascii="仿宋_GB2312" w:hAnsi="仿宋" w:eastAsia="仿宋_GB2312" w:cs="宋体"/>
          <w:color w:val="auto"/>
          <w:kern w:val="2"/>
          <w:sz w:val="32"/>
          <w:szCs w:val="32"/>
          <w:highlight w:val="none"/>
          <w:lang w:val="en-US" w:eastAsia="zh-CN" w:bidi="ar-SA"/>
        </w:rPr>
        <w:t>自贸试验区应当配合国家金融管理部门完善金融风险监测预警和评估机制，建立与自贸试验区金融发展相适应的风险防范机制。发挥北京金融法院作用，加大对中外各类金融机构合规经营活动的司法保护力度。</w:t>
      </w:r>
      <w:r>
        <w:rPr>
          <w:rFonts w:hint="eastAsia" w:ascii="仿宋_GB2312" w:hAnsi="仿宋" w:cs="宋体"/>
          <w:color w:val="auto"/>
          <w:kern w:val="2"/>
          <w:sz w:val="32"/>
          <w:szCs w:val="32"/>
          <w:highlight w:val="none"/>
          <w:lang w:val="en-US" w:eastAsia="zh-CN" w:bidi="ar-SA"/>
        </w:rPr>
        <w:t>区内</w:t>
      </w:r>
      <w:r>
        <w:rPr>
          <w:rFonts w:hint="eastAsia" w:ascii="仿宋_GB2312" w:hAnsi="仿宋" w:eastAsia="仿宋_GB2312" w:cs="宋体"/>
          <w:color w:val="auto"/>
          <w:kern w:val="2"/>
          <w:sz w:val="32"/>
          <w:szCs w:val="32"/>
          <w:highlight w:val="none"/>
          <w:lang w:val="en-US" w:eastAsia="zh-CN" w:bidi="ar-SA"/>
        </w:rPr>
        <w:t>金融机构</w:t>
      </w:r>
      <w:r>
        <w:rPr>
          <w:rFonts w:hint="eastAsia" w:ascii="仿宋_GB2312" w:hAnsi="仿宋" w:cs="宋体"/>
          <w:color w:val="auto"/>
          <w:kern w:val="2"/>
          <w:sz w:val="32"/>
          <w:szCs w:val="32"/>
          <w:highlight w:val="none"/>
          <w:lang w:val="en-US" w:eastAsia="zh-CN" w:bidi="ar-SA"/>
        </w:rPr>
        <w:t>应当</w:t>
      </w:r>
      <w:r>
        <w:rPr>
          <w:rFonts w:hint="eastAsia" w:ascii="仿宋_GB2312" w:hAnsi="仿宋" w:eastAsia="仿宋_GB2312" w:cs="宋体"/>
          <w:color w:val="auto"/>
          <w:kern w:val="2"/>
          <w:sz w:val="32"/>
          <w:szCs w:val="32"/>
          <w:highlight w:val="none"/>
          <w:lang w:val="en-US" w:eastAsia="zh-CN" w:bidi="ar-SA"/>
        </w:rPr>
        <w:t>向金融管理部门报送相关信息，履行反洗钱、反恐怖融资和反逃税等义务，配合金融管理部门监管跨境异常资金流动，落实金融消费者和投资者权益保护责任。</w:t>
      </w:r>
    </w:p>
    <w:p>
      <w:pPr>
        <w:pStyle w:val="13"/>
        <w:snapToGrid w:val="0"/>
        <w:spacing w:line="560" w:lineRule="exact"/>
        <w:ind w:left="640" w:firstLine="0" w:firstLineChars="0"/>
        <w:rPr>
          <w:rFonts w:ascii="仿宋_GB2312" w:hAnsi="仿宋"/>
          <w:color w:val="auto"/>
          <w:sz w:val="32"/>
          <w:szCs w:val="32"/>
          <w:highlight w:val="none"/>
        </w:rPr>
      </w:pPr>
    </w:p>
    <w:p>
      <w:pPr>
        <w:pStyle w:val="2"/>
        <w:spacing w:line="560" w:lineRule="exact"/>
        <w:rPr>
          <w:rFonts w:hAnsi="微软雅黑"/>
          <w:color w:val="auto"/>
          <w:highlight w:val="none"/>
        </w:rPr>
      </w:pPr>
      <w:bookmarkStart w:id="12" w:name="_Toc79312589"/>
      <w:r>
        <w:rPr>
          <w:rFonts w:hint="eastAsia"/>
          <w:color w:val="auto"/>
          <w:highlight w:val="none"/>
        </w:rPr>
        <w:t>第七章 优势产业开放创新</w:t>
      </w:r>
      <w:bookmarkEnd w:id="12"/>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【优势产业开放创新】自贸试验区鼓励医疗健康、专业服务、教育、商贸文旅、航空服务、科技、互联网信息等优势产业开放发展，形成现代服务产业集聚的开放平台。</w:t>
      </w:r>
    </w:p>
    <w:p>
      <w:pPr>
        <w:pStyle w:val="13"/>
        <w:numPr>
          <w:ilvl w:val="0"/>
          <w:numId w:val="1"/>
        </w:numPr>
        <w:snapToGrid w:val="0"/>
        <w:spacing w:line="560" w:lineRule="exact"/>
        <w:ind w:firstLine="640"/>
        <w:rPr>
          <w:rFonts w:ascii="仿宋_GB2312" w:hAnsi="微软雅黑"/>
          <w:color w:val="auto"/>
          <w:sz w:val="22"/>
          <w:highlight w:val="none"/>
        </w:rPr>
      </w:pPr>
      <w:bookmarkStart w:id="13" w:name="_Hlk80521454"/>
      <w:r>
        <w:rPr>
          <w:rFonts w:hint="eastAsia" w:ascii="仿宋_GB2312" w:hAnsi="仿宋"/>
          <w:color w:val="auto"/>
          <w:sz w:val="32"/>
          <w:szCs w:val="32"/>
          <w:highlight w:val="none"/>
        </w:rPr>
        <w:t>【医疗健康产业开放】自贸试验区采取下列措施促进医疗健康产业开放发展：</w:t>
      </w:r>
    </w:p>
    <w:p>
      <w:pPr>
        <w:snapToGrid w:val="0"/>
        <w:spacing w:line="560" w:lineRule="exact"/>
        <w:ind w:firstLine="640" w:firstLineChars="200"/>
        <w:rPr>
          <w:rFonts w:ascii="仿宋_GB2312" w:hAnsi="仿宋"/>
          <w:bCs/>
          <w:color w:val="auto"/>
          <w:sz w:val="32"/>
          <w:szCs w:val="32"/>
          <w:highlight w:val="none"/>
        </w:rPr>
      </w:pPr>
      <w:r>
        <w:rPr>
          <w:rFonts w:hint="eastAsia" w:ascii="仿宋_GB2312" w:hAnsi="仿宋"/>
          <w:color w:val="auto"/>
          <w:sz w:val="32"/>
          <w:szCs w:val="32"/>
          <w:highlight w:val="none"/>
        </w:rPr>
        <w:t>（一）建设国家药物科技创新战略型平台，加强前沿基础研究；鼓励依法开展干细胞、人工智能医疗器械等临床前沿医疗技术研究；</w:t>
      </w:r>
      <w:r>
        <w:rPr>
          <w:rFonts w:hint="eastAsia" w:ascii="仿宋_GB2312" w:hAnsi="仿宋"/>
          <w:bCs/>
          <w:color w:val="auto"/>
          <w:sz w:val="32"/>
          <w:szCs w:val="32"/>
          <w:highlight w:val="none"/>
        </w:rPr>
        <w:t>围绕生命前沿技术、重大疾病防治关键技术等，开展医药健康联合攻关；</w:t>
      </w:r>
      <w:r>
        <w:rPr>
          <w:rFonts w:hint="eastAsia" w:ascii="仿宋_GB2312" w:hAnsi="仿宋"/>
          <w:color w:val="auto"/>
          <w:sz w:val="32"/>
          <w:szCs w:val="32"/>
          <w:highlight w:val="none"/>
        </w:rPr>
        <w:t>支持鼓励医疗机构与区内生物医药企业建立联合实验室；</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（二）鼓励开展去中心化临床试验；探索建设研究型医院和研究型病房，加速医药研发成果孵化进程；</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（三）引进医药健康产业领军企业，培育产业集群；推动中医药产业创新发展，支持中医药与新一代信息技术融合创新；</w:t>
      </w:r>
      <w:r>
        <w:rPr>
          <w:rFonts w:hint="eastAsia" w:ascii="仿宋_GB2312" w:hAnsi="仿宋"/>
          <w:color w:val="auto"/>
          <w:sz w:val="32"/>
          <w:szCs w:val="32"/>
          <w:highlight w:val="none"/>
          <w:lang w:eastAsia="zh-CN"/>
        </w:rPr>
        <w:t>促进</w:t>
      </w:r>
      <w:r>
        <w:rPr>
          <w:rFonts w:hint="eastAsia" w:ascii="仿宋_GB2312" w:hAnsi="仿宋"/>
          <w:color w:val="auto"/>
          <w:sz w:val="32"/>
          <w:szCs w:val="32"/>
          <w:highlight w:val="none"/>
        </w:rPr>
        <w:t>互联网医疗发展，鼓励医疗健康数据共建共享；</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四）优化急需药品、医疗器械和研发用材料试剂、设备、无特定病原体及无菌实验动物等通关和审评审批流程，依法放宽医药研发用小剂量特殊化学制剂的管理；对区内社会办医机构乙类大型医用设备购置实行备案制；鼓励药品医疗器械技术创新，构建医药健康协同创新体系，促进成果转化；</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（五）支持医疗机构加强国际合作，开展跨境远程医疗；便利企业开展医药国际研发合作创新；优化人类遗传资源管理流程，服务医药研发国际合作；</w:t>
      </w:r>
    </w:p>
    <w:p>
      <w:pPr>
        <w:snapToGrid w:val="0"/>
        <w:spacing w:line="560" w:lineRule="exact"/>
        <w:ind w:firstLine="640" w:firstLineChars="200"/>
        <w:rPr>
          <w:rFonts w:hint="eastAsia" w:ascii="仿宋_GB2312" w:hAnsi="仿宋"/>
          <w:color w:val="auto"/>
          <w:sz w:val="32"/>
          <w:szCs w:val="32"/>
          <w:highlight w:val="none"/>
        </w:rPr>
      </w:pPr>
      <w:r>
        <w:rPr>
          <w:rFonts w:hint="eastAsia" w:ascii="仿宋_GB2312" w:hAnsi="仿宋"/>
          <w:color w:val="auto"/>
          <w:sz w:val="32"/>
          <w:szCs w:val="32"/>
          <w:highlight w:val="none"/>
        </w:rPr>
        <w:t>（六）支持在区内规划建设国际医院，鼓励建设中小型高水平国际化诊所，提供高质量的国际化医疗服务。</w:t>
      </w:r>
    </w:p>
    <w:bookmarkEnd w:id="13"/>
    <w:p>
      <w:pPr>
        <w:pStyle w:val="13"/>
        <w:numPr>
          <w:ilvl w:val="0"/>
          <w:numId w:val="1"/>
        </w:numPr>
        <w:snapToGrid w:val="0"/>
        <w:spacing w:line="560" w:lineRule="exact"/>
        <w:ind w:firstLine="640"/>
        <w:rPr>
          <w:rFonts w:ascii="仿宋_GB2312" w:hAnsi="微软雅黑"/>
          <w:color w:val="auto"/>
          <w:sz w:val="22"/>
          <w:szCs w:val="20"/>
          <w:highlight w:val="none"/>
        </w:rPr>
      </w:pPr>
      <w:r>
        <w:rPr>
          <w:rFonts w:hint="eastAsia" w:ascii="仿宋_GB2312" w:hAnsi="仿宋"/>
          <w:color w:val="auto"/>
          <w:sz w:val="32"/>
          <w:szCs w:val="32"/>
          <w:highlight w:val="none"/>
        </w:rPr>
        <w:t>【专业服务开放】自贸试验区鼓励专业服务资源国际国内双向流动，采取以下措施促进专业服务开放：</w:t>
      </w:r>
    </w:p>
    <w:p>
      <w:pPr>
        <w:snapToGrid w:val="0"/>
        <w:spacing w:line="560" w:lineRule="exact"/>
        <w:ind w:firstLine="640" w:firstLineChars="200"/>
        <w:rPr>
          <w:rFonts w:ascii="仿宋_GB2312" w:hAnsi="微软雅黑"/>
          <w:color w:val="auto"/>
          <w:sz w:val="22"/>
          <w:highlight w:val="none"/>
        </w:rPr>
      </w:pPr>
      <w:r>
        <w:rPr>
          <w:rFonts w:hint="eastAsia" w:ascii="仿宋_GB2312" w:hAnsi="仿宋"/>
          <w:color w:val="auto"/>
          <w:sz w:val="32"/>
          <w:szCs w:val="32"/>
          <w:highlight w:val="none"/>
        </w:rPr>
        <w:t>（一）鼓励市场主体在区内设立会计、法律、咨询、广告、人力资源、资产评估、资信评级、建筑设计等领域专业服务机构；</w:t>
      </w:r>
      <w:r>
        <w:rPr>
          <w:rFonts w:ascii="仿宋_GB2312" w:hAnsi="微软雅黑"/>
          <w:color w:val="auto"/>
          <w:sz w:val="22"/>
          <w:highlight w:val="none"/>
        </w:rPr>
        <w:t xml:space="preserve"> </w:t>
      </w:r>
    </w:p>
    <w:p>
      <w:pPr>
        <w:snapToGrid w:val="0"/>
        <w:spacing w:line="560" w:lineRule="exact"/>
        <w:rPr>
          <w:rFonts w:ascii="仿宋_GB2312" w:hAnsi="仿宋"/>
          <w:color w:val="auto"/>
          <w:sz w:val="32"/>
          <w:szCs w:val="32"/>
          <w:highlight w:val="none"/>
        </w:rPr>
      </w:pPr>
      <w:r>
        <w:rPr>
          <w:rFonts w:hint="eastAsia" w:ascii="仿宋_GB2312" w:hAnsi="仿宋"/>
          <w:color w:val="auto"/>
          <w:sz w:val="32"/>
          <w:szCs w:val="32"/>
          <w:highlight w:val="none"/>
        </w:rPr>
        <w:t>允许境外知名仲裁及争议解决机构经登记备案，在区内设立业务机构，为国际商事、投资等领域民商事争议提供仲裁服务；</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二）鼓励区内会计、法律、咨询、广告、人力资源等专业服务机构拓展国际市场，以新设、并购、合作等方式发展涉外业务；支持专业服务机构依托对外基础设施建设、资源开发、对外援助等重大项目联合走出去，加强对企业境外经营风险防范的指导；</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（三）支持境外与自贸试验区内专业服务机构共建联合体开展专业服务，建立跨领域多资质的综合性专业服务机制，共同开展项目合作和品牌交流，拓展双向合作模式；</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（四）支持符合条件的区域建设专业服务综合示范区，推动专业服务企业集聚，提供全流程专业服务。</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【提升教育领域开放水平】自贸试验区加大国际教育供给，引进优质教育资源，采取以下措施提升教育领域开放水平：</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（一）</w:t>
      </w:r>
      <w:r>
        <w:rPr>
          <w:rFonts w:hint="eastAsia" w:ascii="仿宋_GB2312"/>
          <w:bCs/>
          <w:color w:val="auto"/>
          <w:sz w:val="32"/>
          <w:szCs w:val="32"/>
          <w:highlight w:val="none"/>
        </w:rPr>
        <w:t>完善国际教育供给，优化国际学校布局，</w:t>
      </w:r>
      <w:r>
        <w:rPr>
          <w:rFonts w:hint="eastAsia" w:ascii="仿宋_GB2312" w:hAnsi="仿宋"/>
          <w:color w:val="auto"/>
          <w:sz w:val="32"/>
          <w:szCs w:val="32"/>
          <w:highlight w:val="none"/>
        </w:rPr>
        <w:t>允许区内中小学按国家有关规定接收外籍人员子女入学；</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（二）鼓励引入国外优质教育资源，支持区内高等学校与国际知名高等学校举办高水平合作办学项目；</w:t>
      </w:r>
    </w:p>
    <w:p>
      <w:pPr>
        <w:snapToGrid w:val="0"/>
        <w:spacing w:line="560" w:lineRule="exact"/>
        <w:ind w:firstLine="640" w:firstLineChars="200"/>
        <w:rPr>
          <w:rFonts w:ascii="仿宋_GB2312" w:hAnsi="华文仿宋"/>
          <w:color w:val="auto"/>
          <w:sz w:val="32"/>
          <w:szCs w:val="32"/>
          <w:highlight w:val="none"/>
        </w:rPr>
      </w:pPr>
      <w:r>
        <w:rPr>
          <w:rFonts w:hint="eastAsia" w:ascii="仿宋_GB2312" w:hAnsi="仿宋"/>
          <w:color w:val="auto"/>
          <w:sz w:val="32"/>
          <w:szCs w:val="32"/>
          <w:highlight w:val="none"/>
        </w:rPr>
        <w:t>（三）</w:t>
      </w:r>
      <w:r>
        <w:rPr>
          <w:rFonts w:hint="eastAsia" w:ascii="仿宋_GB2312" w:hAnsi="华文仿宋"/>
          <w:color w:val="auto"/>
          <w:sz w:val="32"/>
          <w:szCs w:val="32"/>
          <w:highlight w:val="none"/>
        </w:rPr>
        <w:t>支持开展职业教育国际合作示范项目，加强与国际知名企业合作，促进产教融合；</w:t>
      </w:r>
    </w:p>
    <w:p>
      <w:pPr>
        <w:snapToGrid w:val="0"/>
        <w:spacing w:line="560" w:lineRule="exact"/>
        <w:ind w:firstLine="640" w:firstLineChars="200"/>
        <w:rPr>
          <w:rFonts w:ascii="仿宋_GB2312" w:hAnsi="微软雅黑"/>
          <w:color w:val="auto"/>
          <w:sz w:val="22"/>
          <w:highlight w:val="none"/>
        </w:rPr>
      </w:pPr>
      <w:r>
        <w:rPr>
          <w:rFonts w:hint="eastAsia" w:ascii="仿宋_GB2312" w:hAnsi="华文仿宋"/>
          <w:color w:val="auto"/>
          <w:sz w:val="32"/>
          <w:szCs w:val="32"/>
          <w:highlight w:val="none"/>
        </w:rPr>
        <w:t>（四）</w:t>
      </w:r>
      <w:r>
        <w:rPr>
          <w:rFonts w:hint="eastAsia" w:ascii="仿宋_GB2312" w:hAnsi="仿宋"/>
          <w:color w:val="auto"/>
          <w:sz w:val="32"/>
          <w:szCs w:val="32"/>
          <w:highlight w:val="none"/>
        </w:rPr>
        <w:t>允许外商投资营利性非学历语言类培训机构；</w:t>
      </w:r>
    </w:p>
    <w:p>
      <w:pPr>
        <w:snapToGrid w:val="0"/>
        <w:spacing w:line="560" w:lineRule="exact"/>
        <w:ind w:firstLine="640" w:firstLineChars="200"/>
        <w:rPr>
          <w:rFonts w:ascii="仿宋_GB2312" w:hAnsi="微软雅黑"/>
          <w:color w:val="auto"/>
          <w:sz w:val="22"/>
          <w:highlight w:val="none"/>
        </w:rPr>
      </w:pPr>
      <w:r>
        <w:rPr>
          <w:rFonts w:hint="eastAsia" w:ascii="仿宋_GB2312" w:hAnsi="仿宋"/>
          <w:color w:val="auto"/>
          <w:sz w:val="32"/>
          <w:szCs w:val="32"/>
          <w:highlight w:val="none"/>
        </w:rPr>
        <w:t>（五）允许外商单独设立以中国公民为主要招生对象的经营性职业技能培训机构；</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（六）允许外国留学生依法在自贸试验区内勤工助学。</w:t>
      </w:r>
    </w:p>
    <w:p>
      <w:pPr>
        <w:pStyle w:val="13"/>
        <w:numPr>
          <w:ilvl w:val="0"/>
          <w:numId w:val="1"/>
        </w:numPr>
        <w:snapToGrid w:val="0"/>
        <w:spacing w:line="560" w:lineRule="exact"/>
        <w:ind w:firstLine="640"/>
        <w:rPr>
          <w:rFonts w:ascii="仿宋_GB2312" w:hAnsi="微软雅黑"/>
          <w:color w:val="auto"/>
          <w:sz w:val="22"/>
          <w:szCs w:val="32"/>
          <w:highlight w:val="none"/>
        </w:rPr>
      </w:pPr>
      <w:r>
        <w:rPr>
          <w:rFonts w:hint="eastAsia" w:ascii="仿宋_GB2312" w:hAnsi="仿宋"/>
          <w:color w:val="auto"/>
          <w:sz w:val="32"/>
          <w:szCs w:val="32"/>
          <w:highlight w:val="none"/>
        </w:rPr>
        <w:t>【商业开放】自贸试验区鼓励发展会展经济、首店经济、首发经济。拓展中医旅游、文化娱乐、国际赛事、时尚设计等服务消费供给，推动体验消费、智能消费等商品消费模式创新，</w:t>
      </w:r>
      <w:r>
        <w:rPr>
          <w:rFonts w:hint="eastAsia" w:ascii="仿宋_GB2312" w:hAnsi="仿宋"/>
          <w:color w:val="auto"/>
          <w:sz w:val="32"/>
          <w:szCs w:val="32"/>
          <w:highlight w:val="none"/>
          <w:lang w:eastAsia="zh-CN"/>
        </w:rPr>
        <w:t>培育消费新增长点，</w:t>
      </w:r>
      <w:r>
        <w:rPr>
          <w:rFonts w:hint="eastAsia" w:ascii="仿宋_GB2312" w:hAnsi="仿宋"/>
          <w:color w:val="auto"/>
          <w:sz w:val="32"/>
          <w:szCs w:val="32"/>
          <w:highlight w:val="none"/>
        </w:rPr>
        <w:t>优化提升消费环境。推动跨境电子商务持续创新发展</w:t>
      </w:r>
      <w:r>
        <w:rPr>
          <w:rFonts w:ascii="仿宋_GB2312" w:hAnsi="仿宋"/>
          <w:color w:val="auto"/>
          <w:sz w:val="32"/>
          <w:szCs w:val="32"/>
          <w:highlight w:val="none"/>
        </w:rPr>
        <w:t>,</w:t>
      </w:r>
      <w:r>
        <w:rPr>
          <w:rFonts w:hint="eastAsia" w:ascii="仿宋_GB2312" w:hAnsi="仿宋"/>
          <w:color w:val="auto"/>
          <w:sz w:val="32"/>
          <w:szCs w:val="32"/>
          <w:highlight w:val="none"/>
        </w:rPr>
        <w:t>拓宽消费品进口渠道。</w:t>
      </w:r>
      <w:r>
        <w:rPr>
          <w:rFonts w:hint="eastAsia" w:ascii="仿宋_GB2312" w:hAnsi="仿宋"/>
          <w:color w:val="auto"/>
          <w:sz w:val="32"/>
          <w:szCs w:val="32"/>
          <w:highlight w:val="none"/>
          <w:lang w:eastAsia="zh-CN"/>
        </w:rPr>
        <w:t>鼓励流通企业创新发展，加强特色经营和精细化服务，提高竞争力。</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文旅产业开放】自贸试验区鼓励网络视听、网络游戏、数字音乐等新兴文化业态发展，推动国家文化出口基地建设，加强文化信息、创意设计、游戏和动漫版权、数字影视等领域文化贸易发展。创新文化艺术品和文物进口保税贸易发展模式，实施入境便利化管理，创新优化免担保模式。鼓励在区内举办国际文化、旅游交流活动，建设交流平台，推动与友好城市交流</w:t>
      </w:r>
      <w:r>
        <w:rPr>
          <w:color w:val="auto"/>
          <w:highlight w:val="none"/>
        </w:rPr>
        <w:fldChar w:fldCharType="begin"/>
      </w:r>
      <w:r>
        <w:rPr>
          <w:color w:val="auto"/>
          <w:highlight w:val="none"/>
        </w:rPr>
        <w:instrText xml:space="preserve"> HYPERLINK </w:instrText>
      </w:r>
      <w:r>
        <w:rPr>
          <w:color w:val="auto"/>
          <w:highlight w:val="none"/>
        </w:rPr>
        <w:fldChar w:fldCharType="separate"/>
      </w:r>
      <w:r>
        <w:rPr>
          <w:rFonts w:hint="eastAsia" w:ascii="仿宋_GB2312" w:hAnsi="仿宋"/>
          <w:color w:val="auto"/>
          <w:sz w:val="32"/>
          <w:szCs w:val="32"/>
          <w:highlight w:val="none"/>
        </w:rPr>
        <w:t>互鉴</w:t>
      </w:r>
      <w:r>
        <w:rPr>
          <w:rFonts w:hint="eastAsia" w:ascii="仿宋_GB2312" w:hAnsi="仿宋"/>
          <w:color w:val="auto"/>
          <w:sz w:val="32"/>
          <w:szCs w:val="32"/>
          <w:highlight w:val="none"/>
        </w:rPr>
        <w:fldChar w:fldCharType="end"/>
      </w:r>
      <w:r>
        <w:rPr>
          <w:rFonts w:hint="eastAsia" w:ascii="仿宋_GB2312" w:hAnsi="仿宋"/>
          <w:color w:val="auto"/>
          <w:sz w:val="32"/>
          <w:szCs w:val="32"/>
          <w:highlight w:val="none"/>
        </w:rPr>
        <w:t>。</w:t>
      </w:r>
    </w:p>
    <w:p>
      <w:pPr>
        <w:pStyle w:val="13"/>
        <w:numPr>
          <w:ilvl w:val="0"/>
          <w:numId w:val="1"/>
        </w:numPr>
        <w:snapToGrid w:val="0"/>
        <w:spacing w:line="560" w:lineRule="exact"/>
        <w:ind w:firstLine="640"/>
        <w:rPr>
          <w:rFonts w:ascii="仿宋_GB2312" w:hAnsi="微软雅黑"/>
          <w:color w:val="auto"/>
          <w:sz w:val="22"/>
          <w:szCs w:val="20"/>
          <w:highlight w:val="none"/>
        </w:rPr>
      </w:pPr>
      <w:r>
        <w:rPr>
          <w:rFonts w:hint="eastAsia" w:ascii="仿宋_GB2312" w:hAnsi="仿宋"/>
          <w:color w:val="auto"/>
          <w:sz w:val="32"/>
          <w:szCs w:val="32"/>
          <w:highlight w:val="none"/>
        </w:rPr>
        <w:t>【航空服务开放】自贸试验区鼓励发展航空维修、航空金融等航空产业。鼓励在自贸试验区特定区域开展航空维修业务，建立与国际标准相衔接的航材共享和航材维修制度，优化航材保税监管，实施飞机维修企业航空器材包修转包修理业务口岸便利化措施，提升航空维修国际竞争力。支持自贸试验区开展飞机融资租赁业务，重点发展</w:t>
      </w:r>
      <w:r>
        <w:rPr>
          <w:rFonts w:hint="eastAsia" w:ascii="仿宋_GB2312" w:hAnsi="宋体" w:cs="仿宋_GB2312"/>
          <w:color w:val="auto"/>
          <w:kern w:val="0"/>
          <w:sz w:val="32"/>
          <w:szCs w:val="32"/>
          <w:highlight w:val="none"/>
        </w:rPr>
        <w:t>货运飞机保税租赁，</w:t>
      </w:r>
      <w:r>
        <w:rPr>
          <w:rFonts w:hint="eastAsia" w:ascii="仿宋_GB2312" w:hAnsi="仿宋"/>
          <w:color w:val="auto"/>
          <w:sz w:val="32"/>
          <w:szCs w:val="32"/>
          <w:highlight w:val="none"/>
        </w:rPr>
        <w:t>允许飞机跨境租赁实行海关异地监管模式。</w:t>
      </w:r>
    </w:p>
    <w:p>
      <w:pPr>
        <w:pStyle w:val="13"/>
        <w:snapToGrid w:val="0"/>
        <w:spacing w:line="560" w:lineRule="exact"/>
        <w:ind w:left="440" w:firstLine="0" w:firstLineChars="0"/>
        <w:rPr>
          <w:rFonts w:ascii="仿宋_GB2312" w:hAnsi="微软雅黑"/>
          <w:color w:val="auto"/>
          <w:sz w:val="22"/>
          <w:highlight w:val="none"/>
        </w:rPr>
      </w:pPr>
    </w:p>
    <w:p>
      <w:pPr>
        <w:pStyle w:val="2"/>
        <w:spacing w:line="560" w:lineRule="exact"/>
        <w:rPr>
          <w:rFonts w:hAnsi="微软雅黑"/>
          <w:color w:val="auto"/>
          <w:highlight w:val="none"/>
        </w:rPr>
      </w:pPr>
      <w:bookmarkStart w:id="14" w:name="_Toc79312590"/>
      <w:r>
        <w:rPr>
          <w:rFonts w:hint="eastAsia"/>
          <w:color w:val="auto"/>
          <w:highlight w:val="none"/>
        </w:rPr>
        <w:t>第八章 京津冀协同</w:t>
      </w:r>
      <w:bookmarkEnd w:id="14"/>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【协同合作目标】本市落实京津冀协同发展战略，与津冀自贸试验区建立合作机制，联合开展制度创新，深化产业链协同发展，推动形成统一开放市场，建设京津冀协同发展的高水平对外开放平台。</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【产业链协同发展】自贸试验区鼓励创新跨区域产业合作方式，深化与津冀产业链协同，建设京津冀产业合作新平台。</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要素流动】自贸试验区加强与津冀自贸试验区技术市场融通合作，联合开展知识产权保护，便利人才跨区域自由流动。推动政务、金融、物流等数据信息共享共用，健全京津冀自贸试验区联合授信机制，畅通三地资金融通渠道，形成京津冀自贸试验区统一开放市场。</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【共同参与“一带一路”建设】自贸试验区联合津冀自贸试验区参与“一带一路”建设，坚持稳妥有序原则，共建、共享境内外合作园区。</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【政务服务一体化】自贸试验区推进与津冀自贸试验区</w:t>
      </w:r>
      <w:bookmarkStart w:id="15" w:name="_Hlk80566156"/>
      <w:r>
        <w:rPr>
          <w:rFonts w:hint="eastAsia" w:ascii="仿宋_GB2312" w:hAnsi="仿宋"/>
          <w:color w:val="auto"/>
          <w:sz w:val="32"/>
          <w:szCs w:val="32"/>
          <w:highlight w:val="none"/>
        </w:rPr>
        <w:t>政务服务同事同标</w:t>
      </w:r>
      <w:bookmarkEnd w:id="15"/>
      <w:r>
        <w:rPr>
          <w:rFonts w:hint="eastAsia" w:ascii="仿宋_GB2312" w:hAnsi="仿宋"/>
          <w:color w:val="auto"/>
          <w:sz w:val="32"/>
          <w:szCs w:val="32"/>
          <w:highlight w:val="none"/>
        </w:rPr>
        <w:t>，逐步实现京津冀自贸试验区政务服务事项标准互认、办理结果互认。自贸试验区推动建立京津冀相互授权机制，实现政务服务</w:t>
      </w:r>
      <w:bookmarkStart w:id="16" w:name="_Hlk80566171"/>
      <w:r>
        <w:rPr>
          <w:rFonts w:hint="eastAsia" w:ascii="仿宋_GB2312" w:hAnsi="仿宋"/>
          <w:color w:val="auto"/>
          <w:sz w:val="32"/>
          <w:szCs w:val="32"/>
          <w:highlight w:val="none"/>
        </w:rPr>
        <w:t>跨区域通办</w:t>
      </w:r>
      <w:bookmarkEnd w:id="16"/>
      <w:r>
        <w:rPr>
          <w:rFonts w:hint="eastAsia" w:ascii="仿宋_GB2312" w:hAnsi="仿宋"/>
          <w:color w:val="auto"/>
          <w:sz w:val="32"/>
          <w:szCs w:val="32"/>
          <w:highlight w:val="none"/>
        </w:rPr>
        <w:t>。</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区域产业合作】自贸试验区支持高端产业片区大兴区域与中国（河北）自由贸易试验区大兴机场片区统筹谋划、一体建设，在医药研发、科技会展、航空物流、航空维修等重点领域，探索跨区域产业合作模式，实现创新联动、优势互补。</w:t>
      </w:r>
      <w:bookmarkStart w:id="17" w:name="_Toc79312591"/>
    </w:p>
    <w:p>
      <w:pPr>
        <w:spacing w:line="560" w:lineRule="exact"/>
        <w:rPr>
          <w:color w:val="auto"/>
          <w:highlight w:val="none"/>
        </w:rPr>
      </w:pPr>
    </w:p>
    <w:p>
      <w:pPr>
        <w:pStyle w:val="2"/>
        <w:spacing w:line="560" w:lineRule="exact"/>
        <w:rPr>
          <w:rFonts w:hAnsi="微软雅黑"/>
          <w:color w:val="auto"/>
          <w:highlight w:val="none"/>
        </w:rPr>
      </w:pPr>
      <w:r>
        <w:rPr>
          <w:rFonts w:hint="eastAsia"/>
          <w:color w:val="auto"/>
          <w:highlight w:val="none"/>
        </w:rPr>
        <w:t>第九章 政府服务与保障</w:t>
      </w:r>
    </w:p>
    <w:bookmarkEnd w:id="17"/>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【优化政府服务】自贸试验区持续深化简政放权、放管结合、优化服务，坚持转变政府职能，建设国际一流营商环境，强化多元化法治保障，健全开放型风险防范体系，科学统筹开放和安全。</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【相对集中行政许可权试点】在自贸试验区具备条件的区域探索实施相对集中行政许可权试点，由一个部门统一受理行政许可申请。</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【涉企经营许可事项改革】自贸试验区深化证照分离改革，全面落实涉企经营许可事项改革清单，推动政府管理事前</w:t>
      </w:r>
      <w:r>
        <w:rPr>
          <w:rFonts w:ascii="仿宋_GB2312" w:hAnsi="仿宋"/>
          <w:color w:val="auto"/>
          <w:sz w:val="32"/>
          <w:szCs w:val="32"/>
          <w:highlight w:val="none"/>
        </w:rPr>
        <w:t>审批向</w:t>
      </w:r>
      <w:r>
        <w:rPr>
          <w:rFonts w:hint="eastAsia" w:ascii="仿宋_GB2312" w:hAnsi="仿宋"/>
          <w:color w:val="auto"/>
          <w:sz w:val="32"/>
          <w:szCs w:val="32"/>
          <w:highlight w:val="none"/>
        </w:rPr>
        <w:t>事中事后监管转变。鼓励在自贸试验区进一步探索涉企经营许可事项分类改革，在更大范围、更多行业简化审批，激发市场主体发展活力。</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【推进审批改革】</w:t>
      </w:r>
      <w:r>
        <w:rPr>
          <w:rFonts w:hint="eastAsia" w:ascii="仿宋_GB2312"/>
          <w:color w:val="auto"/>
          <w:sz w:val="32"/>
          <w:szCs w:val="32"/>
          <w:highlight w:val="none"/>
        </w:rPr>
        <w:t>自贸试验区在确保公共安全的基础上，依据国家授权，对市场准入及准入后管理中具有强制性标准的领域，探索实行告知承诺审批、备案管理等方式。</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一业一证改革】自贸试验区在部分行业实施行业综合许可制度改革，完善改革事项清单动态管理机制。将一个行业经营涉及的多项行政许可整合为一项行业综合行政许可，统一记载相关行政许可信息。市场主体凭行业综合许可证即可开展相关经营活动，并逐步实现跨地互认通用。</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创新监管】自贸试验区探索行业综合监管模式，实施以信用为基础的分级分类监管机制，坚持线上线下一体化监管原则，健全监管规则，创新监管方式，完善事中事后监管。率先在重点行业领域探索实施新技术、新产业、新业态、新模式包容审慎监管。</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企业投资项目改革】自贸试验区深化投资审批制度改革，对于土地开发共性事项采取区域统一技术评估模式，建立工业及服务业产业以标准地出让方式供地制度，拓展投资项目告知承诺的审批事项范围，为企业提供市场化全流程综合服务。</w:t>
      </w:r>
    </w:p>
    <w:p>
      <w:pPr>
        <w:pStyle w:val="13"/>
        <w:numPr>
          <w:ilvl w:val="0"/>
          <w:numId w:val="1"/>
        </w:numPr>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【用地模式】自贸试验区按照国土空间规划和用途管制要求，探索实施综合用地模式和实行产业链供地。推行长期租赁、先租后让、租让结合、弹性年期等供地方式。</w:t>
      </w:r>
    </w:p>
    <w:p>
      <w:pPr>
        <w:spacing w:line="560" w:lineRule="exact"/>
        <w:ind w:firstLine="640" w:firstLineChars="200"/>
        <w:rPr>
          <w:rFonts w:ascii="仿宋_GB2312" w:hAnsi="仿宋"/>
          <w:color w:val="auto"/>
          <w:sz w:val="32"/>
          <w:szCs w:val="32"/>
          <w:highlight w:val="none"/>
        </w:rPr>
      </w:pPr>
      <w:r>
        <w:rPr>
          <w:rFonts w:hint="eastAsia" w:ascii="仿宋_GB2312" w:hAnsi="仿宋_GB2312" w:cs="仿宋_GB2312"/>
          <w:color w:val="auto"/>
          <w:sz w:val="32"/>
          <w:szCs w:val="32"/>
          <w:highlight w:val="none"/>
        </w:rPr>
        <w:t>具备条件的自贸试验区区域管理机构，在区域内建筑规模总量可控和不同用地功能比例不变的前提下，依规按程序报请审批后，可根据企业产业落地需要，调整不同用地功能。</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【财力保障机制】本市建立自贸试验区财力保障机制，提升自贸试验区发展动力。</w:t>
      </w:r>
    </w:p>
    <w:p>
      <w:pPr>
        <w:snapToGrid w:val="0"/>
        <w:spacing w:line="560" w:lineRule="exact"/>
        <w:ind w:firstLine="640" w:firstLineChars="200"/>
        <w:rPr>
          <w:rFonts w:ascii="仿宋_GB2312" w:hAnsi="微软雅黑"/>
          <w:color w:val="auto"/>
          <w:sz w:val="22"/>
          <w:highlight w:val="none"/>
        </w:rPr>
      </w:pPr>
      <w:r>
        <w:rPr>
          <w:rFonts w:hint="eastAsia" w:ascii="仿宋_GB2312" w:hAnsi="仿宋"/>
          <w:color w:val="auto"/>
          <w:sz w:val="32"/>
          <w:szCs w:val="32"/>
          <w:highlight w:val="none"/>
        </w:rPr>
        <w:t>（一）结合各区域发展实际，市、区政府进一步统筹资金，加大对自贸试验区的支持力度；</w:t>
      </w:r>
    </w:p>
    <w:p>
      <w:pPr>
        <w:spacing w:line="560" w:lineRule="exact"/>
        <w:ind w:firstLine="660"/>
        <w:rPr>
          <w:rFonts w:ascii="仿宋_GB2312" w:hAnsi="微软雅黑"/>
          <w:color w:val="auto"/>
          <w:sz w:val="22"/>
          <w:highlight w:val="none"/>
        </w:rPr>
      </w:pPr>
      <w:r>
        <w:rPr>
          <w:rFonts w:hint="eastAsia" w:ascii="仿宋_GB2312" w:hAnsi="仿宋"/>
          <w:color w:val="auto"/>
          <w:sz w:val="32"/>
          <w:szCs w:val="32"/>
          <w:highlight w:val="none"/>
        </w:rPr>
        <w:t>（二）</w:t>
      </w:r>
      <w:r>
        <w:rPr>
          <w:rFonts w:hint="eastAsia" w:ascii="仿宋_GB2312"/>
          <w:color w:val="auto"/>
          <w:sz w:val="32"/>
          <w:szCs w:val="32"/>
          <w:highlight w:val="none"/>
        </w:rPr>
        <w:t>充分</w:t>
      </w:r>
      <w:r>
        <w:rPr>
          <w:rFonts w:ascii="仿宋_GB2312"/>
          <w:color w:val="auto"/>
          <w:sz w:val="32"/>
          <w:szCs w:val="32"/>
          <w:highlight w:val="none"/>
        </w:rPr>
        <w:t>发挥本市高精尖资金、科技资金的引导作用，</w:t>
      </w:r>
      <w:r>
        <w:rPr>
          <w:rFonts w:hint="eastAsia" w:ascii="仿宋_GB2312"/>
          <w:color w:val="auto"/>
          <w:sz w:val="32"/>
          <w:szCs w:val="32"/>
          <w:highlight w:val="none"/>
        </w:rPr>
        <w:t>对符合条件的自贸试验区项目给予支持，</w:t>
      </w:r>
      <w:r>
        <w:rPr>
          <w:rFonts w:ascii="仿宋_GB2312"/>
          <w:color w:val="auto"/>
          <w:sz w:val="32"/>
          <w:szCs w:val="32"/>
          <w:highlight w:val="none"/>
        </w:rPr>
        <w:t>建立政府投资基金和市场化产业投资基金支持重点产业项目的协调联动工作机制</w:t>
      </w:r>
      <w:r>
        <w:rPr>
          <w:rFonts w:hint="eastAsia" w:ascii="仿宋_GB2312"/>
          <w:color w:val="auto"/>
          <w:sz w:val="32"/>
          <w:szCs w:val="32"/>
          <w:highlight w:val="none"/>
        </w:rPr>
        <w:t>；</w:t>
      </w:r>
    </w:p>
    <w:p>
      <w:pPr>
        <w:snapToGrid w:val="0"/>
        <w:spacing w:line="560" w:lineRule="exact"/>
        <w:ind w:firstLine="640" w:firstLineChars="200"/>
        <w:rPr>
          <w:rFonts w:ascii="仿宋_GB2312" w:hAnsi="微软雅黑"/>
          <w:color w:val="auto"/>
          <w:sz w:val="22"/>
          <w:highlight w:val="none"/>
        </w:rPr>
      </w:pPr>
      <w:r>
        <w:rPr>
          <w:rFonts w:hint="eastAsia" w:ascii="仿宋_GB2312" w:hAnsi="仿宋"/>
          <w:color w:val="auto"/>
          <w:sz w:val="32"/>
          <w:szCs w:val="32"/>
          <w:highlight w:val="none"/>
        </w:rPr>
        <w:t>（三）</w:t>
      </w:r>
      <w:r>
        <w:rPr>
          <w:rFonts w:hint="eastAsia" w:ascii="仿宋_GB2312" w:hAnsi="仿宋"/>
          <w:color w:val="auto"/>
          <w:sz w:val="32"/>
          <w:szCs w:val="32"/>
          <w:highlight w:val="none"/>
          <w:lang w:eastAsia="zh-CN"/>
        </w:rPr>
        <w:t>需要通过政府债券资金支持、并符合债务管理要求的基础设施和公益性项目，优先纳入发债计划予以保障。</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【区域联动和利益共享】根据本市规定，为企业跨区域迁移提供便利。探索建立自贸试验区新设企业与项目区域联动和利益共享机制。</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【税收优惠】自贸试验区按规定落实个人、企业等各项税收优惠政策。</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构建多元化纠纷解决机制】自贸试验区推行公证、调解、仲裁、行政裁决、行政复议、诉讼等有机衔接、相互协调的多元化纠纷解决机制。加强国际商事纠纷一站式多元解纷中心建设，为自贸试验区企业提供司法保障。支持国际商事争端预防与解决组织在自贸试验区内设立运营。</w:t>
      </w:r>
      <w:r>
        <w:rPr>
          <w:rFonts w:hint="eastAsia" w:ascii="仿宋_GB2312" w:hAnsi="仿宋"/>
          <w:color w:val="auto"/>
          <w:sz w:val="32"/>
          <w:szCs w:val="32"/>
          <w:highlight w:val="none"/>
        </w:rPr>
        <w:tab/>
      </w:r>
    </w:p>
    <w:p>
      <w:pPr>
        <w:pStyle w:val="13"/>
        <w:numPr>
          <w:ilvl w:val="0"/>
          <w:numId w:val="1"/>
        </w:numPr>
        <w:snapToGrid w:val="0"/>
        <w:spacing w:line="560" w:lineRule="exact"/>
        <w:ind w:firstLine="640"/>
        <w:rPr>
          <w:rFonts w:ascii="仿宋_GB2312" w:hAnsi="微软雅黑"/>
          <w:color w:val="auto"/>
          <w:sz w:val="22"/>
          <w:szCs w:val="22"/>
          <w:highlight w:val="none"/>
        </w:rPr>
      </w:pPr>
      <w:r>
        <w:rPr>
          <w:rFonts w:hint="eastAsia" w:ascii="仿宋_GB2312" w:hAnsi="仿宋"/>
          <w:color w:val="auto"/>
          <w:sz w:val="32"/>
          <w:szCs w:val="32"/>
          <w:highlight w:val="none"/>
        </w:rPr>
        <w:t>【</w:t>
      </w:r>
      <w:r>
        <w:rPr>
          <w:rFonts w:hint="eastAsia" w:ascii="仿宋_GB2312" w:hAnsi="仿宋"/>
          <w:color w:val="auto"/>
          <w:sz w:val="32"/>
          <w:szCs w:val="32"/>
          <w:highlight w:val="none"/>
          <w:lang w:eastAsia="zh-CN"/>
        </w:rPr>
        <w:t>风险防范体系</w:t>
      </w:r>
      <w:r>
        <w:rPr>
          <w:rFonts w:hint="eastAsia" w:ascii="仿宋_GB2312" w:hAnsi="仿宋"/>
          <w:color w:val="auto"/>
          <w:sz w:val="32"/>
          <w:szCs w:val="32"/>
          <w:highlight w:val="none"/>
        </w:rPr>
        <w:t>】自贸试验区健全开放型经济风险防范体系。在投资、贸易、网络、生物安全、生态环境、文化安全、人员进出、反恐反分裂、公共道德等重点领域，落实外商投资安全审查制度，完善反垄断审查、行业管理、用户认证、行为审计等管理措施。依托信息技术创新风险研判和风险防控手段，建立联防联控机制。</w:t>
      </w:r>
    </w:p>
    <w:p>
      <w:pPr>
        <w:pStyle w:val="13"/>
        <w:snapToGrid w:val="0"/>
        <w:spacing w:line="560" w:lineRule="exact"/>
        <w:ind w:firstLineChars="0"/>
        <w:rPr>
          <w:rFonts w:hint="eastAsia" w:ascii="仿宋_GB2312" w:hAnsi="微软雅黑"/>
          <w:color w:val="auto"/>
          <w:sz w:val="22"/>
          <w:highlight w:val="none"/>
        </w:rPr>
      </w:pPr>
    </w:p>
    <w:p>
      <w:pPr>
        <w:pStyle w:val="2"/>
        <w:spacing w:line="560" w:lineRule="exact"/>
        <w:rPr>
          <w:color w:val="auto"/>
          <w:highlight w:val="none"/>
        </w:rPr>
      </w:pPr>
      <w:bookmarkStart w:id="18" w:name="_Toc79312592"/>
      <w:r>
        <w:rPr>
          <w:rFonts w:hint="eastAsia"/>
          <w:color w:val="auto"/>
          <w:highlight w:val="none"/>
        </w:rPr>
        <w:t>第十章 人才保障</w:t>
      </w:r>
      <w:bookmarkEnd w:id="18"/>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【优化人才保障】自贸试验区加快推进人才发展体制机制改革和政策创新，鼓励面向全球吸引人才，构建全流程人才服务体系。</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【人才资历认定】自贸试验区实行更加开放的境外职业资格认可政策，建立过往资历认可机制，支持符合条件的</w:t>
      </w:r>
      <w:r>
        <w:rPr>
          <w:rFonts w:hint="eastAsia" w:ascii="仿宋_GB2312" w:hAnsi="仿宋"/>
          <w:color w:val="auto"/>
          <w:sz w:val="32"/>
          <w:szCs w:val="32"/>
          <w:highlight w:val="none"/>
          <w:lang w:eastAsia="zh-CN"/>
        </w:rPr>
        <w:t>具有</w:t>
      </w:r>
      <w:r>
        <w:rPr>
          <w:rFonts w:hint="eastAsia" w:ascii="仿宋_GB2312" w:hAnsi="仿宋"/>
          <w:color w:val="auto"/>
          <w:sz w:val="32"/>
          <w:szCs w:val="32"/>
          <w:highlight w:val="none"/>
        </w:rPr>
        <w:t>境外职业资格的专业人才在京从事专业服务，并在人才引进、工作许可、出入境等方面给予相应保障及便利。</w:t>
      </w:r>
    </w:p>
    <w:p>
      <w:pPr>
        <w:pStyle w:val="13"/>
        <w:numPr>
          <w:ilvl w:val="0"/>
          <w:numId w:val="1"/>
        </w:numPr>
        <w:snapToGrid w:val="0"/>
        <w:spacing w:line="560" w:lineRule="exact"/>
        <w:ind w:firstLine="640"/>
        <w:rPr>
          <w:rFonts w:ascii="仿宋_GB2312" w:hAnsi="仿宋"/>
          <w:color w:val="auto"/>
          <w:sz w:val="32"/>
          <w:szCs w:val="32"/>
          <w:highlight w:val="none"/>
        </w:rPr>
      </w:pPr>
      <w:r>
        <w:rPr>
          <w:rFonts w:hint="eastAsia" w:ascii="仿宋_GB2312" w:hAnsi="仿宋"/>
          <w:color w:val="auto"/>
          <w:sz w:val="32"/>
          <w:szCs w:val="32"/>
          <w:highlight w:val="none"/>
        </w:rPr>
        <w:t>【人才引进】本市加大对自贸试验区人才引进和落户支持力度，创新人才引进政策，支持区内重点企业、高等学校、科研机构面向全球引进急需紧缺人才。赋予区域管理机构区一级人才落户推荐权和申请受理权，赋予综合保税区管理机构工作居住证办理权。</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【提升人才服务水平】自贸试验区为各类人才发展提供优质服务，提升人才服务水平：</w:t>
      </w:r>
    </w:p>
    <w:p>
      <w:pPr>
        <w:snapToGrid w:val="0"/>
        <w:spacing w:line="560" w:lineRule="exact"/>
        <w:ind w:firstLine="640" w:firstLineChars="200"/>
        <w:rPr>
          <w:rFonts w:ascii="仿宋_GB2312" w:hAnsi="微软雅黑"/>
          <w:color w:val="auto"/>
          <w:sz w:val="22"/>
          <w:highlight w:val="none"/>
        </w:rPr>
      </w:pPr>
      <w:r>
        <w:rPr>
          <w:rFonts w:hint="eastAsia" w:ascii="仿宋_GB2312" w:hAnsi="仿宋"/>
          <w:color w:val="auto"/>
          <w:sz w:val="32"/>
          <w:szCs w:val="32"/>
          <w:highlight w:val="none"/>
        </w:rPr>
        <w:t>（一）在自贸试验区内设立职能整合的一站式人才服务窗口和服务站点；</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（二）优化外国人来华工作许可、居留许可审批流程，对符合条件的人才，申请办理证件时可以采取容缺受理方式；</w:t>
      </w:r>
    </w:p>
    <w:p>
      <w:pPr>
        <w:snapToGrid w:val="0"/>
        <w:spacing w:line="560" w:lineRule="exact"/>
        <w:ind w:firstLine="640" w:firstLineChars="200"/>
        <w:rPr>
          <w:rFonts w:ascii="仿宋_GB2312" w:hAnsi="微软雅黑"/>
          <w:color w:val="auto"/>
          <w:sz w:val="22"/>
          <w:highlight w:val="none"/>
        </w:rPr>
      </w:pPr>
      <w:r>
        <w:rPr>
          <w:rFonts w:hint="eastAsia" w:ascii="仿宋_GB2312" w:hAnsi="仿宋"/>
          <w:color w:val="auto"/>
          <w:sz w:val="32"/>
          <w:szCs w:val="32"/>
          <w:highlight w:val="none"/>
        </w:rPr>
        <w:t>（三）实行境外高端人才入出境和个人生活购汇结汇等便利措施；</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（四）为符合条件的人才提供住房、子女教育、就医、档案管理、社会保险关系转移接续、职业教育培训、职称评定等方面的服务；</w:t>
      </w:r>
    </w:p>
    <w:p>
      <w:pPr>
        <w:snapToGrid w:val="0"/>
        <w:spacing w:line="560" w:lineRule="exact"/>
        <w:ind w:firstLine="640" w:firstLineChars="200"/>
        <w:rPr>
          <w:rFonts w:ascii="仿宋_GB2312" w:hAnsi="仿宋"/>
          <w:color w:val="auto"/>
          <w:sz w:val="32"/>
          <w:szCs w:val="32"/>
          <w:highlight w:val="none"/>
        </w:rPr>
      </w:pPr>
      <w:r>
        <w:rPr>
          <w:rFonts w:hint="eastAsia" w:ascii="仿宋_GB2312" w:hAnsi="仿宋"/>
          <w:color w:val="auto"/>
          <w:sz w:val="32"/>
          <w:szCs w:val="32"/>
          <w:highlight w:val="none"/>
        </w:rPr>
        <w:t>（五）优化非标准就业形式下人才的劳动保障服务。</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鼓励人才创新创业】自贸试验区鼓励人才在区内从业、创业，充分激发人才创新创业活力。区域管理机构和有关部门引导支持区内单位和个人举办或参与创业交流论坛、峰会等活动，建立人才创新创业服务平台。</w:t>
      </w:r>
    </w:p>
    <w:p>
      <w:pPr>
        <w:pStyle w:val="13"/>
        <w:numPr>
          <w:ilvl w:val="0"/>
          <w:numId w:val="1"/>
        </w:numPr>
        <w:snapToGrid w:val="0"/>
        <w:spacing w:line="560" w:lineRule="exact"/>
        <w:ind w:firstLine="640"/>
        <w:rPr>
          <w:rFonts w:ascii="仿宋_GB2312" w:hAnsi="微软雅黑"/>
          <w:color w:val="auto"/>
          <w:sz w:val="22"/>
          <w:szCs w:val="22"/>
          <w:highlight w:val="none"/>
        </w:rPr>
      </w:pPr>
      <w:r>
        <w:rPr>
          <w:rFonts w:hint="eastAsia" w:ascii="仿宋_GB2312" w:hAnsi="仿宋"/>
          <w:color w:val="auto"/>
          <w:sz w:val="32"/>
          <w:szCs w:val="32"/>
          <w:highlight w:val="none"/>
        </w:rPr>
        <w:t>【增强用工灵活性】自贸试验区增强企业劳动用工的灵活性，放宽劳务派遣比例限制，扩大劳务派遣员工使用范围。区内企业可以根据用工需求，通过劳务派遣方式引进研发中心研发岗位临时性人员。</w:t>
      </w:r>
    </w:p>
    <w:p>
      <w:pPr>
        <w:pStyle w:val="13"/>
        <w:snapToGrid w:val="0"/>
        <w:spacing w:line="560" w:lineRule="exact"/>
        <w:ind w:firstLineChars="0"/>
        <w:rPr>
          <w:rFonts w:ascii="仿宋_GB2312" w:hAnsi="微软雅黑"/>
          <w:color w:val="auto"/>
          <w:sz w:val="22"/>
          <w:highlight w:val="none"/>
        </w:rPr>
      </w:pPr>
    </w:p>
    <w:p>
      <w:pPr>
        <w:pStyle w:val="2"/>
        <w:spacing w:line="560" w:lineRule="exact"/>
        <w:rPr>
          <w:color w:val="auto"/>
          <w:highlight w:val="none"/>
        </w:rPr>
      </w:pPr>
      <w:bookmarkStart w:id="19" w:name="_Toc79312593"/>
      <w:r>
        <w:rPr>
          <w:rFonts w:hint="eastAsia"/>
          <w:color w:val="auto"/>
          <w:highlight w:val="none"/>
        </w:rPr>
        <w:t>第十一章 附则</w:t>
      </w:r>
      <w:bookmarkEnd w:id="19"/>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参照执行】中国（河北）自由贸易试验区大兴机场片区（北京区域）9.97平方公里参照本条例执行，对于与《中国（河北）自由贸易试验区总体方案》不一致的，按照《中国（河北）自由贸易试验区总体方案》执行。</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【中央事权】对属于中央事权的有关事项，按程序报批后实施。</w:t>
      </w:r>
    </w:p>
    <w:p>
      <w:pPr>
        <w:pStyle w:val="13"/>
        <w:numPr>
          <w:ilvl w:val="0"/>
          <w:numId w:val="1"/>
        </w:numPr>
        <w:snapToGrid w:val="0"/>
        <w:spacing w:line="560" w:lineRule="exact"/>
        <w:ind w:firstLine="640"/>
        <w:rPr>
          <w:rFonts w:ascii="仿宋_GB2312" w:hAnsi="微软雅黑"/>
          <w:color w:val="auto"/>
          <w:sz w:val="22"/>
          <w:highlight w:val="none"/>
        </w:rPr>
      </w:pPr>
      <w:r>
        <w:rPr>
          <w:rFonts w:hint="eastAsia" w:ascii="仿宋_GB2312" w:hAnsi="仿宋"/>
          <w:color w:val="auto"/>
          <w:sz w:val="32"/>
          <w:szCs w:val="32"/>
          <w:highlight w:val="none"/>
        </w:rPr>
        <w:t xml:space="preserve">【生效日期】本条例自年 </w:t>
      </w:r>
      <w:r>
        <w:rPr>
          <w:rFonts w:cs="Calibri"/>
          <w:color w:val="auto"/>
          <w:sz w:val="32"/>
          <w:szCs w:val="32"/>
          <w:highlight w:val="none"/>
        </w:rPr>
        <w:t> </w:t>
      </w:r>
      <w:r>
        <w:rPr>
          <w:rFonts w:hint="eastAsia" w:ascii="仿宋_GB2312" w:hAnsi="仿宋"/>
          <w:color w:val="auto"/>
          <w:sz w:val="32"/>
          <w:szCs w:val="32"/>
          <w:highlight w:val="none"/>
        </w:rPr>
        <w:t xml:space="preserve">月 </w:t>
      </w:r>
      <w:r>
        <w:rPr>
          <w:rFonts w:cs="Calibri"/>
          <w:color w:val="auto"/>
          <w:sz w:val="32"/>
          <w:szCs w:val="32"/>
          <w:highlight w:val="none"/>
        </w:rPr>
        <w:t> </w:t>
      </w:r>
      <w:r>
        <w:rPr>
          <w:rFonts w:hint="eastAsia" w:ascii="仿宋_GB2312" w:hAnsi="仿宋"/>
          <w:color w:val="auto"/>
          <w:sz w:val="32"/>
          <w:szCs w:val="32"/>
          <w:highlight w:val="none"/>
        </w:rPr>
        <w:t>日起施行。</w:t>
      </w: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华文仿宋">
    <w:altName w:val="汉仪仿宋简"/>
    <w:panose1 w:val="00000000000000000000"/>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t>- 1 -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t>- 2 -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lvlText w:val="第%1条"/>
      <w:lvlJc w:val="left"/>
      <w:pPr>
        <w:ind w:left="0" w:firstLine="1419"/>
      </w:pPr>
      <w:rPr>
        <w:rFonts w:hint="eastAsia" w:ascii="宋体" w:hAnsi="宋体" w:eastAsia="黑体"/>
        <w:position w:val="0"/>
        <w:sz w:val="32"/>
        <w:szCs w:val="3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30B246BC"/>
    <w:rsid w:val="35B38D56"/>
    <w:rsid w:val="5DB7C662"/>
    <w:rsid w:val="6BFB355C"/>
    <w:rsid w:val="6FFFDDF3"/>
    <w:rsid w:val="7ABF2CC4"/>
    <w:rsid w:val="8BEA45AD"/>
    <w:rsid w:val="AFD7E4D0"/>
    <w:rsid w:val="BDA94ECB"/>
    <w:rsid w:val="BFFCB71C"/>
    <w:rsid w:val="D07BB3D9"/>
    <w:rsid w:val="D971B9C8"/>
    <w:rsid w:val="DEF345BC"/>
    <w:rsid w:val="E7BDD0D6"/>
    <w:rsid w:val="EBE53772"/>
    <w:rsid w:val="FBD856A5"/>
    <w:rsid w:val="FCCB9C1C"/>
    <w:rsid w:val="FFB65784"/>
    <w:rsid w:val="FFC10088"/>
    <w:rsid w:val="FFE22C2D"/>
    <w:rsid w:val="FFFB77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21"/>
      <w:szCs w:val="22"/>
      <w:lang w:val="en-US" w:eastAsia="zh-CN" w:bidi="ar-SA"/>
    </w:rPr>
  </w:style>
  <w:style w:type="paragraph" w:styleId="2">
    <w:name w:val="heading 1"/>
    <w:basedOn w:val="1"/>
    <w:next w:val="1"/>
    <w:link w:val="20"/>
    <w:qFormat/>
    <w:uiPriority w:val="9"/>
    <w:pPr>
      <w:snapToGrid w:val="0"/>
      <w:spacing w:line="560" w:lineRule="exact"/>
      <w:jc w:val="center"/>
      <w:outlineLvl w:val="0"/>
    </w:pPr>
    <w:rPr>
      <w:rFonts w:ascii="黑体" w:hAnsi="黑体" w:eastAsia="黑体"/>
      <w:bCs/>
      <w:color w:val="000000"/>
      <w:kern w:val="44"/>
      <w:sz w:val="32"/>
      <w:szCs w:val="32"/>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footer"/>
    <w:basedOn w:val="1"/>
    <w:link w:val="19"/>
    <w:qFormat/>
    <w:uiPriority w:val="99"/>
    <w:pPr>
      <w:tabs>
        <w:tab w:val="center" w:pos="4153"/>
        <w:tab w:val="right" w:pos="8306"/>
      </w:tabs>
      <w:snapToGrid w:val="0"/>
      <w:jc w:val="left"/>
    </w:pPr>
    <w:rPr>
      <w:sz w:val="18"/>
      <w:szCs w:val="18"/>
    </w:rPr>
  </w:style>
  <w:style w:type="paragraph" w:styleId="4">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7">
    <w:name w:val="Title"/>
    <w:basedOn w:val="1"/>
    <w:next w:val="1"/>
    <w:qFormat/>
    <w:uiPriority w:val="10"/>
    <w:pPr>
      <w:spacing w:line="480" w:lineRule="auto"/>
      <w:jc w:val="center"/>
      <w:outlineLvl w:val="0"/>
    </w:pPr>
    <w:rPr>
      <w:rFonts w:ascii="Cambria" w:hAnsi="Cambria" w:eastAsia="宋体"/>
      <w:b/>
      <w:bCs/>
      <w:sz w:val="48"/>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qFormat/>
    <w:uiPriority w:val="99"/>
    <w:rPr>
      <w:color w:val="0000FF"/>
      <w:u w:val="single"/>
    </w:rPr>
  </w:style>
  <w:style w:type="paragraph" w:customStyle="1" w:styleId="13">
    <w:name w:val="列出段落1"/>
    <w:basedOn w:val="1"/>
    <w:qFormat/>
    <w:uiPriority w:val="34"/>
    <w:pPr>
      <w:ind w:firstLine="420" w:firstLineChars="200"/>
    </w:pPr>
  </w:style>
  <w:style w:type="paragraph" w:customStyle="1" w:styleId="14">
    <w:name w:val="TOC 标题1"/>
    <w:basedOn w:val="2"/>
    <w:next w:val="1"/>
    <w:qFormat/>
    <w:uiPriority w:val="39"/>
    <w:pPr>
      <w:keepNext/>
      <w:keepLines/>
      <w:widowControl/>
      <w:spacing w:before="240" w:line="259" w:lineRule="auto"/>
      <w:outlineLvl w:val="9"/>
    </w:pPr>
    <w:rPr>
      <w:rFonts w:ascii="Cambria" w:hAnsi="Cambria" w:eastAsia="宋体"/>
      <w:b/>
      <w:bCs w:val="0"/>
      <w:color w:val="365F91"/>
      <w:kern w:val="0"/>
    </w:rPr>
  </w:style>
  <w:style w:type="paragraph" w:customStyle="1" w:styleId="15">
    <w:name w:val="List Paragraph_e0d69cad-dea6-4608-b8e4-165029871a4c"/>
    <w:basedOn w:val="1"/>
    <w:qFormat/>
    <w:uiPriority w:val="34"/>
    <w:pPr>
      <w:ind w:firstLine="420" w:firstLineChars="200"/>
    </w:pPr>
  </w:style>
  <w:style w:type="paragraph" w:customStyle="1" w:styleId="16">
    <w:name w:val="列表段落1"/>
    <w:basedOn w:val="1"/>
    <w:qFormat/>
    <w:uiPriority w:val="34"/>
    <w:pPr>
      <w:ind w:firstLine="420" w:firstLineChars="200"/>
    </w:pPr>
    <w:rPr>
      <w:rFonts w:eastAsia="宋体" w:cs="黑体"/>
    </w:rPr>
  </w:style>
  <w:style w:type="paragraph" w:customStyle="1" w:styleId="17">
    <w:name w:val="列表段落2"/>
    <w:basedOn w:val="1"/>
    <w:qFormat/>
    <w:uiPriority w:val="34"/>
    <w:pPr>
      <w:ind w:firstLine="420" w:firstLineChars="200"/>
    </w:pPr>
  </w:style>
  <w:style w:type="character" w:customStyle="1" w:styleId="18">
    <w:name w:val="页眉 字符"/>
    <w:basedOn w:val="10"/>
    <w:link w:val="4"/>
    <w:qFormat/>
    <w:uiPriority w:val="99"/>
    <w:rPr>
      <w:sz w:val="18"/>
      <w:szCs w:val="18"/>
    </w:rPr>
  </w:style>
  <w:style w:type="character" w:customStyle="1" w:styleId="19">
    <w:name w:val="页脚 字符"/>
    <w:basedOn w:val="10"/>
    <w:link w:val="3"/>
    <w:qFormat/>
    <w:uiPriority w:val="99"/>
    <w:rPr>
      <w:sz w:val="18"/>
      <w:szCs w:val="18"/>
    </w:rPr>
  </w:style>
  <w:style w:type="character" w:customStyle="1" w:styleId="20">
    <w:name w:val="标题 1 字符"/>
    <w:basedOn w:val="10"/>
    <w:link w:val="2"/>
    <w:qFormat/>
    <w:uiPriority w:val="9"/>
    <w:rPr>
      <w:rFonts w:ascii="黑体" w:hAnsi="黑体" w:eastAsia="黑体" w:cs="宋体"/>
      <w:bCs/>
      <w:color w:val="000000"/>
      <w:kern w:val="44"/>
      <w:sz w:val="32"/>
      <w:szCs w:val="32"/>
    </w:rPr>
  </w:style>
  <w:style w:type="character" w:customStyle="1" w:styleId="21">
    <w:name w:val="bjh-p"/>
    <w:basedOn w:val="10"/>
    <w:qFormat/>
    <w:uiPriority w:val="0"/>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11953</Words>
  <Characters>11956</Characters>
  <Lines>0</Lines>
  <Paragraphs>191</Paragraphs>
  <TotalTime>963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2021-08-25T18:51:00Z</dcterms:created>
  <dc:creator>Tencent</dc:creator>
  <cp:lastModifiedBy>uos</cp:lastModifiedBy>
  <cp:lastPrinted>2021-08-28T06:03:00Z</cp:lastPrinted>
  <dcterms:modified xsi:type="dcterms:W3CDTF">2021-09-14T10:58:32Z</dcterms:modified>
  <dc:title>中国（北京）自由贸易试验区条例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