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1</w:t>
      </w:r>
    </w:p>
    <w:p>
      <w:pPr>
        <w:snapToGrid w:val="0"/>
        <w:spacing w:line="560" w:lineRule="exact"/>
        <w:rPr>
          <w:rFonts w:ascii="方正小标宋简体" w:hAnsi="方正小标宋简体" w:eastAsia="方正小标宋简体"/>
          <w:color w:val="auto"/>
          <w:sz w:val="44"/>
          <w:szCs w:val="44"/>
          <w:highlight w:val="none"/>
        </w:rPr>
      </w:pPr>
    </w:p>
    <w:p>
      <w:pPr>
        <w:snapToGrid w:val="0"/>
        <w:spacing w:line="560" w:lineRule="exact"/>
        <w:jc w:val="center"/>
        <w:rPr>
          <w:rFonts w:hint="eastAsia" w:ascii="方正小标宋简体" w:hAnsi="方正小标宋简体" w:eastAsia="方正小标宋简体"/>
          <w:color w:val="auto"/>
          <w:sz w:val="44"/>
          <w:szCs w:val="44"/>
          <w:highlight w:val="none"/>
        </w:rPr>
      </w:pPr>
      <w:r>
        <w:rPr>
          <w:rFonts w:hint="eastAsia" w:ascii="方正小标宋简体" w:hAnsi="方正小标宋简体" w:eastAsia="方正小标宋简体"/>
          <w:color w:val="auto"/>
          <w:sz w:val="44"/>
          <w:szCs w:val="44"/>
          <w:highlight w:val="none"/>
        </w:rPr>
        <w:t>中国（北京）自由贸易试验区条例</w:t>
      </w:r>
    </w:p>
    <w:p>
      <w:pPr>
        <w:snapToGrid w:val="0"/>
        <w:spacing w:line="560" w:lineRule="exact"/>
        <w:jc w:val="center"/>
        <w:rPr>
          <w:rFonts w:hint="eastAsia" w:ascii="方正小标宋简体" w:hAnsi="方正小标宋简体" w:eastAsia="方正小标宋简体"/>
          <w:color w:val="auto"/>
          <w:sz w:val="44"/>
          <w:szCs w:val="44"/>
          <w:highlight w:val="none"/>
        </w:rPr>
      </w:pPr>
      <w:r>
        <w:rPr>
          <w:rFonts w:hint="eastAsia" w:ascii="方正小标宋简体" w:hAnsi="方正小标宋简体" w:eastAsia="方正小标宋简体"/>
          <w:color w:val="auto"/>
          <w:sz w:val="44"/>
          <w:szCs w:val="44"/>
          <w:highlight w:val="none"/>
        </w:rPr>
        <w:t>（</w:t>
      </w:r>
      <w:r>
        <w:rPr>
          <w:rFonts w:hint="eastAsia" w:ascii="方正小标宋简体" w:hAnsi="方正小标宋简体" w:eastAsia="方正小标宋简体"/>
          <w:color w:val="auto"/>
          <w:sz w:val="44"/>
          <w:szCs w:val="44"/>
          <w:highlight w:val="none"/>
          <w:lang w:eastAsia="zh-CN"/>
        </w:rPr>
        <w:t>征求意见</w:t>
      </w:r>
      <w:r>
        <w:rPr>
          <w:rFonts w:hint="eastAsia" w:ascii="方正小标宋简体" w:hAnsi="方正小标宋简体" w:eastAsia="方正小标宋简体"/>
          <w:color w:val="auto"/>
          <w:sz w:val="44"/>
          <w:szCs w:val="44"/>
          <w:highlight w:val="none"/>
        </w:rPr>
        <w:t>稿）</w:t>
      </w:r>
    </w:p>
    <w:p>
      <w:pPr>
        <w:snapToGrid w:val="0"/>
        <w:spacing w:line="560" w:lineRule="exact"/>
        <w:jc w:val="center"/>
        <w:rPr>
          <w:rFonts w:ascii="方正小标宋简体" w:hAnsi="方正小标宋简体" w:eastAsia="方正小标宋简体"/>
          <w:color w:val="auto"/>
          <w:sz w:val="22"/>
          <w:highlight w:val="none"/>
        </w:rPr>
      </w:pPr>
    </w:p>
    <w:p>
      <w:pPr>
        <w:snapToGrid w:val="0"/>
        <w:spacing w:line="560" w:lineRule="exact"/>
        <w:jc w:val="left"/>
        <w:rPr>
          <w:rFonts w:ascii="仿宋_GB2312" w:hAnsi="微软雅黑"/>
          <w:color w:val="auto"/>
          <w:sz w:val="22"/>
          <w:highlight w:val="none"/>
        </w:rPr>
      </w:pPr>
    </w:p>
    <w:p>
      <w:pPr>
        <w:spacing w:line="560" w:lineRule="exact"/>
        <w:jc w:val="center"/>
        <w:rPr>
          <w:rFonts w:ascii="黑体" w:hAnsi="黑体" w:eastAsia="黑体"/>
          <w:color w:val="auto"/>
          <w:sz w:val="32"/>
          <w:szCs w:val="32"/>
          <w:highlight w:val="none"/>
        </w:rPr>
      </w:pPr>
      <w:r>
        <w:rPr>
          <w:rFonts w:hint="eastAsia" w:ascii="黑体" w:hAnsi="黑体" w:eastAsia="黑体"/>
          <w:color w:val="auto"/>
          <w:sz w:val="32"/>
          <w:szCs w:val="32"/>
          <w:highlight w:val="none"/>
        </w:rPr>
        <w:t>目 录</w:t>
      </w:r>
    </w:p>
    <w:p>
      <w:pPr>
        <w:pStyle w:val="5"/>
        <w:spacing w:line="560" w:lineRule="exact"/>
        <w:ind w:firstLine="420" w:firstLineChars="200"/>
        <w:rPr>
          <w:rFonts w:ascii="仿宋_GB2312"/>
          <w:color w:val="0000FF"/>
          <w:sz w:val="32"/>
          <w:szCs w:val="32"/>
          <w:highlight w:val="none"/>
        </w:rPr>
      </w:pPr>
      <w:r>
        <w:rPr>
          <w:rFonts w:hint="eastAsia" w:ascii="仿宋_GB2312"/>
          <w:color w:val="0000FF"/>
          <w:highlight w:val="none"/>
        </w:rPr>
        <w:fldChar w:fldCharType="begin"/>
      </w:r>
      <w:r>
        <w:rPr>
          <w:rFonts w:hint="eastAsia" w:ascii="仿宋_GB2312"/>
          <w:color w:val="0000FF"/>
          <w:highlight w:val="none"/>
        </w:rPr>
        <w:instrText xml:space="preserve"> TOC \o "1-3" \h \z \u </w:instrText>
      </w:r>
      <w:r>
        <w:rPr>
          <w:rFonts w:hint="eastAsia" w:ascii="仿宋_GB2312"/>
          <w:color w:val="0000FF"/>
          <w:highlight w:val="none"/>
        </w:rPr>
        <w:fldChar w:fldCharType="separate"/>
      </w:r>
      <w:r>
        <w:rPr>
          <w:color w:val="0000FF"/>
          <w:highlight w:val="none"/>
        </w:rPr>
        <w:fldChar w:fldCharType="begin"/>
      </w:r>
      <w:r>
        <w:rPr>
          <w:color w:val="0000FF"/>
          <w:highlight w:val="none"/>
        </w:rPr>
        <w:instrText xml:space="preserve"> HYPERLINK \l "_Toc79312583" </w:instrText>
      </w:r>
      <w:r>
        <w:rPr>
          <w:color w:val="0000FF"/>
          <w:highlight w:val="none"/>
        </w:rPr>
        <w:fldChar w:fldCharType="separate"/>
      </w:r>
      <w:r>
        <w:rPr>
          <w:rStyle w:val="12"/>
          <w:rFonts w:hint="eastAsia" w:ascii="仿宋_GB2312" w:hAnsi="黑体"/>
          <w:color w:val="0000FF"/>
          <w:sz w:val="32"/>
          <w:szCs w:val="32"/>
          <w:highlight w:val="none"/>
        </w:rPr>
        <w:t>第一章 总则</w:t>
      </w:r>
      <w:r>
        <w:rPr>
          <w:rStyle w:val="12"/>
          <w:rFonts w:hint="eastAsia" w:ascii="仿宋_GB2312" w:hAnsi="黑体"/>
          <w:color w:val="0000FF"/>
          <w:sz w:val="32"/>
          <w:szCs w:val="32"/>
          <w:highlight w:val="none"/>
        </w:rPr>
        <w:fldChar w:fldCharType="end"/>
      </w:r>
    </w:p>
    <w:p>
      <w:pPr>
        <w:pStyle w:val="5"/>
        <w:spacing w:line="560" w:lineRule="exact"/>
        <w:ind w:firstLine="420" w:firstLineChars="200"/>
        <w:rPr>
          <w:rFonts w:ascii="仿宋_GB2312"/>
          <w:color w:val="0000FF"/>
          <w:sz w:val="32"/>
          <w:szCs w:val="32"/>
          <w:highlight w:val="none"/>
        </w:rPr>
      </w:pPr>
      <w:r>
        <w:rPr>
          <w:color w:val="0000FF"/>
          <w:highlight w:val="none"/>
        </w:rPr>
        <w:fldChar w:fldCharType="begin"/>
      </w:r>
      <w:r>
        <w:rPr>
          <w:color w:val="0000FF"/>
          <w:highlight w:val="none"/>
        </w:rPr>
        <w:instrText xml:space="preserve"> HYPERLINK \l "_Toc79312584" </w:instrText>
      </w:r>
      <w:r>
        <w:rPr>
          <w:color w:val="0000FF"/>
          <w:highlight w:val="none"/>
        </w:rPr>
        <w:fldChar w:fldCharType="separate"/>
      </w:r>
      <w:r>
        <w:rPr>
          <w:rStyle w:val="12"/>
          <w:rFonts w:hint="eastAsia" w:ascii="仿宋_GB2312" w:hAnsi="黑体"/>
          <w:color w:val="0000FF"/>
          <w:sz w:val="32"/>
          <w:szCs w:val="32"/>
          <w:highlight w:val="none"/>
        </w:rPr>
        <w:t>第二章 管理体制</w:t>
      </w:r>
      <w:r>
        <w:rPr>
          <w:rStyle w:val="12"/>
          <w:rFonts w:hint="eastAsia" w:ascii="仿宋_GB2312" w:hAnsi="黑体"/>
          <w:color w:val="0000FF"/>
          <w:sz w:val="32"/>
          <w:szCs w:val="32"/>
          <w:highlight w:val="none"/>
        </w:rPr>
        <w:fldChar w:fldCharType="end"/>
      </w:r>
    </w:p>
    <w:p>
      <w:pPr>
        <w:pStyle w:val="5"/>
        <w:spacing w:line="560" w:lineRule="exact"/>
        <w:ind w:firstLine="420" w:firstLineChars="200"/>
        <w:rPr>
          <w:rFonts w:ascii="仿宋_GB2312"/>
          <w:color w:val="0000FF"/>
          <w:sz w:val="32"/>
          <w:szCs w:val="32"/>
          <w:highlight w:val="none"/>
        </w:rPr>
      </w:pPr>
      <w:r>
        <w:rPr>
          <w:color w:val="0000FF"/>
          <w:highlight w:val="none"/>
        </w:rPr>
        <w:fldChar w:fldCharType="begin"/>
      </w:r>
      <w:r>
        <w:rPr>
          <w:color w:val="0000FF"/>
          <w:highlight w:val="none"/>
        </w:rPr>
        <w:instrText xml:space="preserve"> HYPERLINK \l "_Toc79312585" </w:instrText>
      </w:r>
      <w:r>
        <w:rPr>
          <w:color w:val="0000FF"/>
          <w:highlight w:val="none"/>
        </w:rPr>
        <w:fldChar w:fldCharType="separate"/>
      </w:r>
      <w:r>
        <w:rPr>
          <w:rStyle w:val="12"/>
          <w:rFonts w:hint="eastAsia" w:ascii="仿宋_GB2312" w:hAnsi="黑体"/>
          <w:color w:val="0000FF"/>
          <w:sz w:val="32"/>
          <w:szCs w:val="32"/>
          <w:highlight w:val="none"/>
        </w:rPr>
        <w:t>第三章 投资开放与贸易便利</w:t>
      </w:r>
      <w:r>
        <w:rPr>
          <w:rStyle w:val="12"/>
          <w:rFonts w:hint="eastAsia" w:ascii="仿宋_GB2312" w:hAnsi="黑体"/>
          <w:color w:val="0000FF"/>
          <w:sz w:val="32"/>
          <w:szCs w:val="32"/>
          <w:highlight w:val="none"/>
        </w:rPr>
        <w:fldChar w:fldCharType="end"/>
      </w:r>
    </w:p>
    <w:p>
      <w:pPr>
        <w:pStyle w:val="5"/>
        <w:spacing w:line="560" w:lineRule="exact"/>
        <w:ind w:firstLine="420" w:firstLineChars="200"/>
        <w:rPr>
          <w:rFonts w:ascii="仿宋_GB2312"/>
          <w:color w:val="0000FF"/>
          <w:sz w:val="32"/>
          <w:szCs w:val="32"/>
          <w:highlight w:val="none"/>
        </w:rPr>
      </w:pPr>
      <w:r>
        <w:rPr>
          <w:color w:val="0000FF"/>
          <w:highlight w:val="none"/>
        </w:rPr>
        <w:fldChar w:fldCharType="begin"/>
      </w:r>
      <w:r>
        <w:rPr>
          <w:color w:val="0000FF"/>
          <w:highlight w:val="none"/>
        </w:rPr>
        <w:instrText xml:space="preserve"> HYPERLINK \l "_Toc79312587" </w:instrText>
      </w:r>
      <w:r>
        <w:rPr>
          <w:color w:val="0000FF"/>
          <w:highlight w:val="none"/>
        </w:rPr>
        <w:fldChar w:fldCharType="separate"/>
      </w:r>
      <w:r>
        <w:rPr>
          <w:rStyle w:val="12"/>
          <w:rFonts w:hint="eastAsia" w:ascii="仿宋_GB2312" w:hAnsi="黑体"/>
          <w:color w:val="0000FF"/>
          <w:sz w:val="32"/>
          <w:szCs w:val="32"/>
          <w:highlight w:val="none"/>
        </w:rPr>
        <w:t>第四章 科技创新</w:t>
      </w:r>
      <w:r>
        <w:rPr>
          <w:rStyle w:val="12"/>
          <w:rFonts w:hint="eastAsia" w:ascii="仿宋_GB2312" w:hAnsi="黑体"/>
          <w:color w:val="0000FF"/>
          <w:sz w:val="32"/>
          <w:szCs w:val="32"/>
          <w:highlight w:val="none"/>
        </w:rPr>
        <w:fldChar w:fldCharType="end"/>
      </w:r>
    </w:p>
    <w:p>
      <w:pPr>
        <w:pStyle w:val="5"/>
        <w:spacing w:line="560" w:lineRule="exact"/>
        <w:ind w:firstLine="420" w:firstLineChars="200"/>
        <w:rPr>
          <w:color w:val="0000FF"/>
          <w:highlight w:val="none"/>
        </w:rPr>
      </w:pPr>
      <w:r>
        <w:rPr>
          <w:color w:val="0000FF"/>
          <w:highlight w:val="none"/>
        </w:rPr>
        <w:fldChar w:fldCharType="begin"/>
      </w:r>
      <w:r>
        <w:rPr>
          <w:color w:val="0000FF"/>
          <w:highlight w:val="none"/>
        </w:rPr>
        <w:instrText xml:space="preserve"> HYPERLINK \l "_Toc79312588" </w:instrText>
      </w:r>
      <w:r>
        <w:rPr>
          <w:color w:val="0000FF"/>
          <w:highlight w:val="none"/>
        </w:rPr>
        <w:fldChar w:fldCharType="separate"/>
      </w:r>
      <w:r>
        <w:rPr>
          <w:rStyle w:val="12"/>
          <w:rFonts w:hint="eastAsia" w:ascii="仿宋_GB2312" w:hAnsi="黑体"/>
          <w:color w:val="0000FF"/>
          <w:sz w:val="32"/>
          <w:szCs w:val="32"/>
          <w:highlight w:val="none"/>
        </w:rPr>
        <w:t>第五章 数字经济</w:t>
      </w:r>
      <w:r>
        <w:rPr>
          <w:rStyle w:val="12"/>
          <w:rFonts w:hint="eastAsia" w:ascii="仿宋_GB2312" w:hAnsi="黑体"/>
          <w:color w:val="0000FF"/>
          <w:sz w:val="32"/>
          <w:szCs w:val="32"/>
          <w:highlight w:val="none"/>
        </w:rPr>
        <w:fldChar w:fldCharType="end"/>
      </w:r>
    </w:p>
    <w:p>
      <w:pPr>
        <w:pStyle w:val="5"/>
        <w:spacing w:line="560" w:lineRule="exact"/>
        <w:ind w:firstLine="420" w:firstLineChars="200"/>
        <w:rPr>
          <w:color w:val="0000FF"/>
          <w:highlight w:val="none"/>
        </w:rPr>
      </w:pPr>
      <w:r>
        <w:rPr>
          <w:color w:val="0000FF"/>
          <w:highlight w:val="none"/>
        </w:rPr>
        <w:fldChar w:fldCharType="begin"/>
      </w:r>
      <w:r>
        <w:rPr>
          <w:color w:val="0000FF"/>
          <w:highlight w:val="none"/>
        </w:rPr>
        <w:instrText xml:space="preserve"> HYPERLINK \l "_Toc79312586" </w:instrText>
      </w:r>
      <w:r>
        <w:rPr>
          <w:color w:val="0000FF"/>
          <w:highlight w:val="none"/>
        </w:rPr>
        <w:fldChar w:fldCharType="separate"/>
      </w:r>
      <w:r>
        <w:rPr>
          <w:rStyle w:val="12"/>
          <w:rFonts w:hint="eastAsia" w:ascii="仿宋_GB2312" w:hAnsi="黑体"/>
          <w:color w:val="0000FF"/>
          <w:sz w:val="32"/>
          <w:szCs w:val="32"/>
          <w:highlight w:val="none"/>
        </w:rPr>
        <w:t>第六章 金融服务</w:t>
      </w:r>
      <w:r>
        <w:rPr>
          <w:rStyle w:val="12"/>
          <w:rFonts w:hint="eastAsia" w:ascii="仿宋_GB2312" w:hAnsi="黑体"/>
          <w:color w:val="0000FF"/>
          <w:sz w:val="32"/>
          <w:szCs w:val="32"/>
          <w:highlight w:val="none"/>
        </w:rPr>
        <w:fldChar w:fldCharType="end"/>
      </w:r>
    </w:p>
    <w:p>
      <w:pPr>
        <w:pStyle w:val="5"/>
        <w:spacing w:line="560" w:lineRule="exact"/>
        <w:ind w:firstLine="420" w:firstLineChars="200"/>
        <w:rPr>
          <w:rFonts w:ascii="仿宋_GB2312"/>
          <w:color w:val="0000FF"/>
          <w:sz w:val="32"/>
          <w:szCs w:val="32"/>
          <w:highlight w:val="none"/>
        </w:rPr>
      </w:pPr>
      <w:r>
        <w:rPr>
          <w:color w:val="0000FF"/>
          <w:highlight w:val="none"/>
        </w:rPr>
        <w:fldChar w:fldCharType="begin"/>
      </w:r>
      <w:r>
        <w:rPr>
          <w:color w:val="0000FF"/>
          <w:highlight w:val="none"/>
        </w:rPr>
        <w:instrText xml:space="preserve"> HYPERLINK \l "_Toc79312589" </w:instrText>
      </w:r>
      <w:r>
        <w:rPr>
          <w:color w:val="0000FF"/>
          <w:highlight w:val="none"/>
        </w:rPr>
        <w:fldChar w:fldCharType="separate"/>
      </w:r>
      <w:r>
        <w:rPr>
          <w:rStyle w:val="12"/>
          <w:rFonts w:hint="eastAsia" w:ascii="仿宋_GB2312" w:hAnsi="黑体"/>
          <w:color w:val="0000FF"/>
          <w:sz w:val="32"/>
          <w:szCs w:val="32"/>
          <w:highlight w:val="none"/>
        </w:rPr>
        <w:t>第七章 优势产业开放</w:t>
      </w:r>
      <w:r>
        <w:rPr>
          <w:rStyle w:val="12"/>
          <w:rFonts w:hint="eastAsia" w:ascii="仿宋_GB2312" w:hAnsi="黑体"/>
          <w:color w:val="0000FF"/>
          <w:sz w:val="32"/>
          <w:szCs w:val="32"/>
          <w:highlight w:val="none"/>
        </w:rPr>
        <w:fldChar w:fldCharType="end"/>
      </w:r>
      <w:r>
        <w:rPr>
          <w:rStyle w:val="12"/>
          <w:rFonts w:hint="eastAsia" w:ascii="仿宋_GB2312" w:hAnsi="黑体"/>
          <w:color w:val="0000FF"/>
          <w:sz w:val="32"/>
          <w:szCs w:val="32"/>
          <w:highlight w:val="none"/>
        </w:rPr>
        <w:t>创新</w:t>
      </w:r>
    </w:p>
    <w:p>
      <w:pPr>
        <w:pStyle w:val="5"/>
        <w:spacing w:line="560" w:lineRule="exact"/>
        <w:ind w:firstLine="420" w:firstLineChars="200"/>
        <w:rPr>
          <w:rFonts w:ascii="仿宋_GB2312"/>
          <w:color w:val="0000FF"/>
          <w:sz w:val="32"/>
          <w:szCs w:val="32"/>
          <w:highlight w:val="none"/>
        </w:rPr>
      </w:pPr>
      <w:r>
        <w:rPr>
          <w:color w:val="0000FF"/>
          <w:highlight w:val="none"/>
        </w:rPr>
        <w:fldChar w:fldCharType="begin"/>
      </w:r>
      <w:r>
        <w:rPr>
          <w:color w:val="0000FF"/>
          <w:highlight w:val="none"/>
        </w:rPr>
        <w:instrText xml:space="preserve"> HYPERLINK \l "_Toc79312590" </w:instrText>
      </w:r>
      <w:r>
        <w:rPr>
          <w:color w:val="0000FF"/>
          <w:highlight w:val="none"/>
        </w:rPr>
        <w:fldChar w:fldCharType="separate"/>
      </w:r>
      <w:r>
        <w:rPr>
          <w:rStyle w:val="12"/>
          <w:rFonts w:hint="eastAsia" w:ascii="仿宋_GB2312" w:hAnsi="黑体"/>
          <w:color w:val="0000FF"/>
          <w:sz w:val="32"/>
          <w:szCs w:val="32"/>
          <w:highlight w:val="none"/>
        </w:rPr>
        <w:t>第八章 京津冀协同</w:t>
      </w:r>
      <w:r>
        <w:rPr>
          <w:rStyle w:val="12"/>
          <w:rFonts w:hint="eastAsia" w:ascii="仿宋_GB2312" w:hAnsi="黑体"/>
          <w:color w:val="0000FF"/>
          <w:sz w:val="32"/>
          <w:szCs w:val="32"/>
          <w:highlight w:val="none"/>
        </w:rPr>
        <w:fldChar w:fldCharType="end"/>
      </w:r>
    </w:p>
    <w:p>
      <w:pPr>
        <w:pStyle w:val="5"/>
        <w:spacing w:line="560" w:lineRule="exact"/>
        <w:ind w:firstLine="420" w:firstLineChars="200"/>
        <w:rPr>
          <w:rFonts w:ascii="仿宋_GB2312"/>
          <w:color w:val="0000FF"/>
          <w:sz w:val="32"/>
          <w:szCs w:val="32"/>
          <w:highlight w:val="none"/>
        </w:rPr>
      </w:pPr>
      <w:r>
        <w:rPr>
          <w:color w:val="0000FF"/>
          <w:highlight w:val="none"/>
        </w:rPr>
        <w:fldChar w:fldCharType="begin"/>
      </w:r>
      <w:r>
        <w:rPr>
          <w:color w:val="0000FF"/>
          <w:highlight w:val="none"/>
        </w:rPr>
        <w:instrText xml:space="preserve"> HYPERLINK \l "_Toc79312591" </w:instrText>
      </w:r>
      <w:r>
        <w:rPr>
          <w:color w:val="0000FF"/>
          <w:highlight w:val="none"/>
        </w:rPr>
        <w:fldChar w:fldCharType="separate"/>
      </w:r>
      <w:r>
        <w:rPr>
          <w:rStyle w:val="12"/>
          <w:rFonts w:hint="eastAsia" w:ascii="仿宋_GB2312" w:hAnsi="黑体"/>
          <w:color w:val="0000FF"/>
          <w:sz w:val="32"/>
          <w:szCs w:val="32"/>
          <w:highlight w:val="none"/>
        </w:rPr>
        <w:t>第九章 政府服务与保障</w:t>
      </w:r>
      <w:r>
        <w:rPr>
          <w:rStyle w:val="12"/>
          <w:rFonts w:hint="eastAsia" w:ascii="仿宋_GB2312" w:hAnsi="黑体"/>
          <w:color w:val="0000FF"/>
          <w:sz w:val="32"/>
          <w:szCs w:val="32"/>
          <w:highlight w:val="none"/>
        </w:rPr>
        <w:fldChar w:fldCharType="end"/>
      </w:r>
    </w:p>
    <w:p>
      <w:pPr>
        <w:pStyle w:val="5"/>
        <w:spacing w:line="560" w:lineRule="exact"/>
        <w:ind w:firstLine="420" w:firstLineChars="200"/>
        <w:rPr>
          <w:rFonts w:ascii="仿宋_GB2312"/>
          <w:color w:val="0000FF"/>
          <w:sz w:val="32"/>
          <w:szCs w:val="32"/>
          <w:highlight w:val="none"/>
        </w:rPr>
      </w:pPr>
      <w:r>
        <w:rPr>
          <w:color w:val="0000FF"/>
          <w:highlight w:val="none"/>
        </w:rPr>
        <w:fldChar w:fldCharType="begin"/>
      </w:r>
      <w:r>
        <w:rPr>
          <w:color w:val="0000FF"/>
          <w:highlight w:val="none"/>
        </w:rPr>
        <w:instrText xml:space="preserve"> HYPERLINK \l "_Toc79312592" </w:instrText>
      </w:r>
      <w:r>
        <w:rPr>
          <w:color w:val="0000FF"/>
          <w:highlight w:val="none"/>
        </w:rPr>
        <w:fldChar w:fldCharType="separate"/>
      </w:r>
      <w:r>
        <w:rPr>
          <w:rStyle w:val="12"/>
          <w:rFonts w:hint="eastAsia" w:ascii="仿宋_GB2312" w:hAnsi="黑体"/>
          <w:color w:val="0000FF"/>
          <w:sz w:val="32"/>
          <w:szCs w:val="32"/>
          <w:highlight w:val="none"/>
        </w:rPr>
        <w:t>第十章 人才保障</w:t>
      </w:r>
      <w:r>
        <w:rPr>
          <w:rStyle w:val="12"/>
          <w:rFonts w:hint="eastAsia" w:ascii="仿宋_GB2312" w:hAnsi="黑体"/>
          <w:color w:val="0000FF"/>
          <w:sz w:val="32"/>
          <w:szCs w:val="32"/>
          <w:highlight w:val="none"/>
        </w:rPr>
        <w:fldChar w:fldCharType="end"/>
      </w:r>
    </w:p>
    <w:p>
      <w:pPr>
        <w:pStyle w:val="5"/>
        <w:spacing w:line="560" w:lineRule="exact"/>
        <w:ind w:firstLine="420" w:firstLineChars="200"/>
        <w:rPr>
          <w:rFonts w:ascii="仿宋_GB2312"/>
          <w:color w:val="0000FF"/>
          <w:sz w:val="32"/>
          <w:szCs w:val="32"/>
          <w:highlight w:val="none"/>
        </w:rPr>
      </w:pPr>
      <w:r>
        <w:rPr>
          <w:color w:val="0000FF"/>
          <w:highlight w:val="none"/>
        </w:rPr>
        <w:fldChar w:fldCharType="begin"/>
      </w:r>
      <w:r>
        <w:rPr>
          <w:color w:val="0000FF"/>
          <w:highlight w:val="none"/>
        </w:rPr>
        <w:instrText xml:space="preserve"> HYPERLINK \l "_Toc79312593" </w:instrText>
      </w:r>
      <w:r>
        <w:rPr>
          <w:color w:val="0000FF"/>
          <w:highlight w:val="none"/>
        </w:rPr>
        <w:fldChar w:fldCharType="separate"/>
      </w:r>
      <w:r>
        <w:rPr>
          <w:rStyle w:val="12"/>
          <w:rFonts w:hint="eastAsia" w:ascii="仿宋_GB2312" w:hAnsi="黑体"/>
          <w:color w:val="0000FF"/>
          <w:sz w:val="32"/>
          <w:szCs w:val="32"/>
          <w:highlight w:val="none"/>
        </w:rPr>
        <w:t>第十一章 附则</w:t>
      </w:r>
      <w:r>
        <w:rPr>
          <w:rStyle w:val="12"/>
          <w:rFonts w:hint="eastAsia" w:ascii="仿宋_GB2312" w:hAnsi="黑体"/>
          <w:color w:val="0000FF"/>
          <w:sz w:val="32"/>
          <w:szCs w:val="32"/>
          <w:highlight w:val="none"/>
        </w:rPr>
        <w:fldChar w:fldCharType="end"/>
      </w:r>
    </w:p>
    <w:p>
      <w:pPr>
        <w:spacing w:line="560" w:lineRule="exact"/>
        <w:rPr>
          <w:rFonts w:ascii="仿宋_GB2312" w:hAnsi="微软雅黑"/>
          <w:color w:val="auto"/>
          <w:sz w:val="22"/>
          <w:highlight w:val="none"/>
        </w:rPr>
      </w:pPr>
      <w:r>
        <w:rPr>
          <w:rFonts w:hint="eastAsia" w:ascii="仿宋_GB2312"/>
          <w:b/>
          <w:bCs/>
          <w:color w:val="0000FF"/>
          <w:highlight w:val="none"/>
          <w:lang w:val="zh-CN"/>
        </w:rPr>
        <w:fldChar w:fldCharType="end"/>
      </w:r>
    </w:p>
    <w:p>
      <w:pPr>
        <w:pStyle w:val="2"/>
        <w:spacing w:line="560" w:lineRule="exact"/>
        <w:rPr>
          <w:bCs w:val="0"/>
          <w:color w:val="auto"/>
          <w:kern w:val="2"/>
          <w:highlight w:val="none"/>
        </w:rPr>
      </w:pPr>
      <w:bookmarkStart w:id="0" w:name="_Toc79312583"/>
    </w:p>
    <w:p>
      <w:pPr>
        <w:pStyle w:val="2"/>
        <w:spacing w:line="560" w:lineRule="exact"/>
        <w:rPr>
          <w:bCs w:val="0"/>
          <w:color w:val="auto"/>
          <w:kern w:val="2"/>
          <w:highlight w:val="none"/>
        </w:rPr>
      </w:pPr>
    </w:p>
    <w:p>
      <w:pPr>
        <w:pStyle w:val="2"/>
        <w:spacing w:line="560" w:lineRule="exact"/>
        <w:jc w:val="both"/>
        <w:rPr>
          <w:color w:val="auto"/>
          <w:highlight w:val="none"/>
        </w:rPr>
      </w:pPr>
    </w:p>
    <w:p>
      <w:pPr>
        <w:pStyle w:val="2"/>
        <w:spacing w:line="560" w:lineRule="exact"/>
        <w:rPr>
          <w:color w:val="auto"/>
          <w:highlight w:val="none"/>
        </w:rPr>
      </w:pPr>
      <w:r>
        <w:rPr>
          <w:rFonts w:hint="eastAsia"/>
          <w:color w:val="auto"/>
          <w:highlight w:val="none"/>
        </w:rPr>
        <w:t>第一章 总则</w:t>
      </w:r>
      <w:bookmarkEnd w:id="0"/>
    </w:p>
    <w:p>
      <w:pPr>
        <w:pStyle w:val="13"/>
        <w:numPr>
          <w:ilvl w:val="0"/>
          <w:numId w:val="1"/>
        </w:numPr>
        <w:snapToGrid w:val="0"/>
        <w:spacing w:line="560" w:lineRule="exact"/>
        <w:ind w:firstLine="640"/>
        <w:rPr>
          <w:rFonts w:ascii="仿宋_GB2312" w:hAnsi="微软雅黑"/>
          <w:color w:val="auto"/>
          <w:sz w:val="22"/>
          <w:highlight w:val="none"/>
        </w:rPr>
      </w:pPr>
      <w:r>
        <w:rPr>
          <w:rFonts w:hint="eastAsia" w:ascii="仿宋_GB2312" w:hAnsi="仿宋"/>
          <w:color w:val="auto"/>
          <w:sz w:val="32"/>
          <w:szCs w:val="32"/>
          <w:highlight w:val="none"/>
        </w:rPr>
        <w:t>【立法目的】为了促进和保障中国（北京）自由贸易试验区的建设和发展，建设更高水平开放型经济新体制，把中国（北京）自由贸易试验区建设成为新时代改革开放新高地，根据国务院批准的《中国（北京）自由贸易试验区总体方案》和有关法律、行政法规，结合本市实际，制定本条例。</w:t>
      </w:r>
    </w:p>
    <w:p>
      <w:pPr>
        <w:pStyle w:val="13"/>
        <w:numPr>
          <w:ilvl w:val="0"/>
          <w:numId w:val="1"/>
        </w:numPr>
        <w:snapToGrid w:val="0"/>
        <w:spacing w:line="560" w:lineRule="exact"/>
        <w:ind w:firstLine="640"/>
        <w:rPr>
          <w:rFonts w:ascii="仿宋_GB2312" w:hAnsi="仿宋"/>
          <w:color w:val="auto"/>
          <w:sz w:val="32"/>
          <w:szCs w:val="32"/>
          <w:highlight w:val="none"/>
        </w:rPr>
      </w:pPr>
      <w:r>
        <w:rPr>
          <w:rFonts w:hint="eastAsia" w:ascii="仿宋_GB2312" w:hAnsi="仿宋"/>
          <w:color w:val="auto"/>
          <w:sz w:val="32"/>
          <w:szCs w:val="32"/>
          <w:highlight w:val="none"/>
        </w:rPr>
        <w:t>【适用范围】本条例适用于经国务院批准设立的中国（北京）自由贸易试验区（以下简称自贸试验区），包括科技创新片区、国际商务服务片区、高端产业片区。</w:t>
      </w:r>
    </w:p>
    <w:p>
      <w:pPr>
        <w:pStyle w:val="13"/>
        <w:numPr>
          <w:ilvl w:val="0"/>
          <w:numId w:val="1"/>
        </w:numPr>
        <w:snapToGrid w:val="0"/>
        <w:spacing w:line="560" w:lineRule="exact"/>
        <w:ind w:firstLine="640"/>
        <w:rPr>
          <w:rFonts w:ascii="仿宋_GB2312" w:hAnsi="仿宋"/>
          <w:color w:val="auto"/>
          <w:sz w:val="32"/>
          <w:szCs w:val="32"/>
          <w:highlight w:val="none"/>
        </w:rPr>
      </w:pPr>
      <w:r>
        <w:rPr>
          <w:rFonts w:hint="eastAsia" w:ascii="仿宋_GB2312" w:hAnsi="仿宋"/>
          <w:color w:val="auto"/>
          <w:sz w:val="32"/>
          <w:szCs w:val="32"/>
          <w:highlight w:val="none"/>
        </w:rPr>
        <w:t>【</w:t>
      </w:r>
      <w:bookmarkStart w:id="1" w:name="_Hlk80560603"/>
      <w:r>
        <w:rPr>
          <w:rFonts w:hint="eastAsia" w:ascii="仿宋_GB2312" w:hAnsi="仿宋"/>
          <w:color w:val="auto"/>
          <w:sz w:val="32"/>
          <w:szCs w:val="32"/>
          <w:highlight w:val="none"/>
        </w:rPr>
        <w:t>战略定位与发展目标</w:t>
      </w:r>
      <w:bookmarkEnd w:id="1"/>
      <w:r>
        <w:rPr>
          <w:rFonts w:hint="eastAsia" w:ascii="仿宋_GB2312" w:hAnsi="仿宋"/>
          <w:color w:val="auto"/>
          <w:sz w:val="32"/>
          <w:szCs w:val="32"/>
          <w:highlight w:val="none"/>
        </w:rPr>
        <w:t>】自贸试验区建设以制度创新为核心，以可复制可推广为基本要求，全面落实中央关于创新驱动发展战略和京津冀协同发展战略，围绕北京“四个中心”战略定位，立足提升“四个服务”水平，助力北京建设具有全球影响力的科技创新中心、国家服务业扩大开放综合示范区，构建京津冀协同发展的高水平对外开放平台，建成贸易投资便利、营商环境优异、创新生态一流、高端产业集聚、金融服务完善、国际经济交往活跃、监管安全高效、辐射带动作用突出的高标准高质量自由贸易园区。</w:t>
      </w:r>
    </w:p>
    <w:p>
      <w:pPr>
        <w:pStyle w:val="13"/>
        <w:numPr>
          <w:ilvl w:val="0"/>
          <w:numId w:val="1"/>
        </w:numPr>
        <w:snapToGrid w:val="0"/>
        <w:spacing w:line="560" w:lineRule="exact"/>
        <w:ind w:firstLine="640"/>
        <w:rPr>
          <w:rFonts w:ascii="仿宋_GB2312" w:hAnsi="仿宋"/>
          <w:color w:val="auto"/>
          <w:sz w:val="32"/>
          <w:szCs w:val="32"/>
          <w:highlight w:val="none"/>
        </w:rPr>
      </w:pPr>
      <w:r>
        <w:rPr>
          <w:rFonts w:hint="eastAsia" w:ascii="仿宋_GB2312" w:hAnsi="仿宋"/>
          <w:color w:val="auto"/>
          <w:sz w:val="32"/>
          <w:szCs w:val="32"/>
          <w:highlight w:val="none"/>
        </w:rPr>
        <w:t>【功能划分】自贸试验区各片区应当根据发展定位和目标，优势互补，错位发展，加强协作，相互促进。</w:t>
      </w:r>
    </w:p>
    <w:p>
      <w:pPr>
        <w:snapToGrid w:val="0"/>
        <w:spacing w:line="560" w:lineRule="exact"/>
        <w:ind w:firstLine="640"/>
        <w:rPr>
          <w:rFonts w:ascii="仿宋_GB2312" w:hAnsi="微软雅黑"/>
          <w:color w:val="auto"/>
          <w:sz w:val="22"/>
          <w:highlight w:val="none"/>
        </w:rPr>
      </w:pPr>
      <w:r>
        <w:rPr>
          <w:rFonts w:hint="eastAsia" w:ascii="仿宋_GB2312" w:hAnsi="仿宋"/>
          <w:color w:val="auto"/>
          <w:sz w:val="32"/>
          <w:szCs w:val="32"/>
          <w:highlight w:val="none"/>
        </w:rPr>
        <w:t>科技创新片区重点发展新一代信息技术、生物与健康、科技服务等产业，打造数字经济试验区、全球创业投资中心、科技体制改革先行示范区。</w:t>
      </w:r>
    </w:p>
    <w:p>
      <w:pPr>
        <w:snapToGrid w:val="0"/>
        <w:spacing w:line="560" w:lineRule="exact"/>
        <w:ind w:firstLine="640"/>
        <w:rPr>
          <w:rFonts w:ascii="仿宋_GB2312" w:hAnsi="微软雅黑"/>
          <w:color w:val="auto"/>
          <w:sz w:val="22"/>
          <w:highlight w:val="none"/>
        </w:rPr>
      </w:pPr>
      <w:r>
        <w:rPr>
          <w:rFonts w:hint="eastAsia" w:ascii="仿宋_GB2312" w:hAnsi="仿宋"/>
          <w:color w:val="auto"/>
          <w:sz w:val="32"/>
          <w:szCs w:val="32"/>
          <w:highlight w:val="none"/>
        </w:rPr>
        <w:t>国际商务服务片区重点发展数字贸易、文化贸易、商务会展、医疗健康、国际寄递物流、跨境金融等产业，打造临空经济创新引领示范区。</w:t>
      </w:r>
    </w:p>
    <w:p>
      <w:pPr>
        <w:snapToGrid w:val="0"/>
        <w:spacing w:line="560" w:lineRule="exact"/>
        <w:ind w:firstLine="640"/>
        <w:rPr>
          <w:rFonts w:ascii="仿宋_GB2312" w:hAnsi="微软雅黑"/>
          <w:color w:val="auto"/>
          <w:sz w:val="22"/>
          <w:highlight w:val="none"/>
        </w:rPr>
      </w:pPr>
      <w:r>
        <w:rPr>
          <w:rFonts w:hint="eastAsia" w:ascii="仿宋_GB2312" w:hAnsi="仿宋"/>
          <w:color w:val="auto"/>
          <w:sz w:val="32"/>
          <w:szCs w:val="32"/>
          <w:highlight w:val="none"/>
        </w:rPr>
        <w:t>高端产业片区重点发展商务服务、国际金融、文化创意、生物技术和大健康等产业，建设科技成果转换承载地、战略性新兴产业集聚区和国际高端功能机构集聚区。</w:t>
      </w:r>
    </w:p>
    <w:p>
      <w:pPr>
        <w:pStyle w:val="13"/>
        <w:numPr>
          <w:ilvl w:val="0"/>
          <w:numId w:val="1"/>
        </w:numPr>
        <w:snapToGrid w:val="0"/>
        <w:spacing w:line="560" w:lineRule="exact"/>
        <w:ind w:firstLine="640"/>
        <w:rPr>
          <w:rFonts w:ascii="仿宋_GB2312" w:hAnsi="仿宋"/>
          <w:color w:val="auto"/>
          <w:sz w:val="32"/>
          <w:szCs w:val="32"/>
          <w:highlight w:val="none"/>
        </w:rPr>
      </w:pPr>
      <w:r>
        <w:rPr>
          <w:rFonts w:hint="eastAsia" w:ascii="仿宋_GB2312" w:hAnsi="仿宋"/>
          <w:color w:val="auto"/>
          <w:sz w:val="32"/>
          <w:szCs w:val="32"/>
          <w:highlight w:val="none"/>
        </w:rPr>
        <w:t>【鼓励创新】自贸试验区鼓励先行先试，支持制度创新，充分激发各类主体活力。法律、法规未禁止的事项，鼓励公民、法人和其他组织在自贸试验区开展改革创新活动。</w:t>
      </w:r>
    </w:p>
    <w:p>
      <w:pPr>
        <w:pStyle w:val="13"/>
        <w:numPr>
          <w:ilvl w:val="0"/>
          <w:numId w:val="1"/>
        </w:numPr>
        <w:snapToGrid w:val="0"/>
        <w:spacing w:line="560" w:lineRule="exact"/>
        <w:ind w:firstLine="640"/>
        <w:rPr>
          <w:rFonts w:ascii="仿宋_GB2312" w:hAnsi="仿宋"/>
          <w:color w:val="auto"/>
          <w:sz w:val="32"/>
          <w:szCs w:val="32"/>
          <w:highlight w:val="none"/>
        </w:rPr>
      </w:pPr>
      <w:r>
        <w:rPr>
          <w:rFonts w:hint="eastAsia" w:ascii="仿宋_GB2312" w:hAnsi="仿宋"/>
          <w:color w:val="auto"/>
          <w:sz w:val="32"/>
          <w:szCs w:val="32"/>
          <w:highlight w:val="none"/>
        </w:rPr>
        <w:t>【容错机制】在自贸试验区内进行的创新未能实现预期目标，</w:t>
      </w:r>
      <w:r>
        <w:rPr>
          <w:rFonts w:hint="eastAsia" w:ascii="仿宋_GB2312" w:hAnsi="仿宋"/>
          <w:color w:val="auto"/>
          <w:sz w:val="32"/>
          <w:szCs w:val="32"/>
          <w:highlight w:val="none"/>
          <w:lang w:eastAsia="zh-CN"/>
        </w:rPr>
        <w:t>但</w:t>
      </w:r>
      <w:r>
        <w:rPr>
          <w:rFonts w:hint="eastAsia" w:ascii="仿宋_GB2312" w:hAnsi="仿宋"/>
          <w:color w:val="auto"/>
          <w:sz w:val="32"/>
          <w:szCs w:val="32"/>
          <w:highlight w:val="none"/>
        </w:rPr>
        <w:t>符合国家确定的改革方向，决策程序符合法律、法规规定，未牟取私利或者未恶意串通损害公共利益的，对有关单位和个人不做负面评价，免予追究相关责任。</w:t>
      </w:r>
    </w:p>
    <w:p>
      <w:pPr>
        <w:pStyle w:val="13"/>
        <w:numPr>
          <w:ilvl w:val="0"/>
          <w:numId w:val="1"/>
        </w:numPr>
        <w:snapToGrid w:val="0"/>
        <w:spacing w:line="560" w:lineRule="exact"/>
        <w:ind w:firstLine="640"/>
        <w:rPr>
          <w:rFonts w:ascii="仿宋_GB2312" w:hAnsi="仿宋"/>
          <w:color w:val="auto"/>
          <w:sz w:val="32"/>
          <w:szCs w:val="32"/>
          <w:highlight w:val="none"/>
        </w:rPr>
      </w:pPr>
      <w:r>
        <w:rPr>
          <w:rFonts w:hint="eastAsia" w:ascii="仿宋_GB2312" w:hAnsi="仿宋"/>
          <w:color w:val="auto"/>
          <w:sz w:val="32"/>
          <w:szCs w:val="32"/>
          <w:highlight w:val="none"/>
        </w:rPr>
        <w:t>【联动创新】自贸试验区强化同国家服务业扩大开放综合示范区和中关村国家自主创新示范区的联动建设，推动改革试点任务在更大范围复制推广。</w:t>
      </w:r>
    </w:p>
    <w:p>
      <w:pPr>
        <w:snapToGrid w:val="0"/>
        <w:spacing w:line="560" w:lineRule="exact"/>
        <w:rPr>
          <w:rFonts w:ascii="仿宋_GB2312" w:hAnsi="微软雅黑"/>
          <w:color w:val="auto"/>
          <w:sz w:val="22"/>
          <w:highlight w:val="none"/>
        </w:rPr>
      </w:pPr>
    </w:p>
    <w:p>
      <w:pPr>
        <w:pStyle w:val="2"/>
        <w:spacing w:line="560" w:lineRule="exact"/>
        <w:rPr>
          <w:color w:val="auto"/>
          <w:highlight w:val="none"/>
        </w:rPr>
      </w:pPr>
      <w:bookmarkStart w:id="2" w:name="_Toc79312584"/>
      <w:r>
        <w:rPr>
          <w:rFonts w:hint="eastAsia"/>
          <w:color w:val="auto"/>
          <w:highlight w:val="none"/>
        </w:rPr>
        <w:t>第二章 管理体制</w:t>
      </w:r>
      <w:bookmarkEnd w:id="2"/>
    </w:p>
    <w:p>
      <w:pPr>
        <w:pStyle w:val="13"/>
        <w:numPr>
          <w:ilvl w:val="0"/>
          <w:numId w:val="1"/>
        </w:numPr>
        <w:snapToGrid w:val="0"/>
        <w:spacing w:line="560" w:lineRule="exact"/>
        <w:ind w:firstLine="640"/>
        <w:rPr>
          <w:rFonts w:ascii="仿宋_GB2312" w:hAnsi="仿宋"/>
          <w:color w:val="auto"/>
          <w:sz w:val="32"/>
          <w:szCs w:val="32"/>
          <w:highlight w:val="none"/>
        </w:rPr>
      </w:pPr>
      <w:r>
        <w:rPr>
          <w:rFonts w:hint="eastAsia" w:ascii="仿宋_GB2312" w:hAnsi="仿宋"/>
          <w:color w:val="auto"/>
          <w:sz w:val="32"/>
          <w:szCs w:val="32"/>
          <w:highlight w:val="none"/>
        </w:rPr>
        <w:t>【管理体制目标】自贸试验区应当按照精简高效、权责明晰的原则，建立适应开放型经济和制度创新的管理体制，提升管理服务效能。</w:t>
      </w:r>
    </w:p>
    <w:p>
      <w:pPr>
        <w:pStyle w:val="13"/>
        <w:numPr>
          <w:ilvl w:val="0"/>
          <w:numId w:val="1"/>
        </w:numPr>
        <w:snapToGrid w:val="0"/>
        <w:spacing w:line="560" w:lineRule="exact"/>
        <w:ind w:firstLine="640"/>
        <w:rPr>
          <w:rFonts w:ascii="仿宋_GB2312" w:hAnsi="仿宋"/>
          <w:color w:val="auto"/>
          <w:sz w:val="32"/>
          <w:szCs w:val="32"/>
          <w:highlight w:val="none"/>
        </w:rPr>
      </w:pPr>
      <w:r>
        <w:rPr>
          <w:rFonts w:hint="eastAsia" w:ascii="仿宋_GB2312" w:hAnsi="仿宋"/>
          <w:color w:val="auto"/>
          <w:sz w:val="32"/>
          <w:szCs w:val="32"/>
          <w:highlight w:val="none"/>
        </w:rPr>
        <w:t>【领导小组】本市设立自贸试验区市级工作领导小组，负责自贸试验区建设发展和改革创新的总体谋划、统筹协调、整体推进、督促落实。</w:t>
      </w:r>
    </w:p>
    <w:p>
      <w:pPr>
        <w:pStyle w:val="13"/>
        <w:snapToGrid w:val="0"/>
        <w:spacing w:line="560" w:lineRule="exact"/>
        <w:ind w:firstLine="640"/>
        <w:rPr>
          <w:rFonts w:ascii="仿宋_GB2312" w:hAnsi="仿宋"/>
          <w:color w:val="auto"/>
          <w:sz w:val="32"/>
          <w:szCs w:val="32"/>
          <w:highlight w:val="none"/>
        </w:rPr>
      </w:pPr>
      <w:r>
        <w:rPr>
          <w:rFonts w:hint="eastAsia" w:ascii="仿宋_GB2312" w:hAnsi="仿宋"/>
          <w:color w:val="auto"/>
          <w:sz w:val="32"/>
          <w:szCs w:val="32"/>
          <w:highlight w:val="none"/>
        </w:rPr>
        <w:t>自贸试验区所在各区、北京经济技术开发区（以下简称自贸试验区所在区）设立区级工作领导小组，负责本区自贸试验区建设发展和改革创新的总体谋划、统筹协调、整体推进、督促落实。</w:t>
      </w:r>
    </w:p>
    <w:p>
      <w:pPr>
        <w:pStyle w:val="13"/>
        <w:numPr>
          <w:ilvl w:val="0"/>
          <w:numId w:val="1"/>
        </w:numPr>
        <w:snapToGrid w:val="0"/>
        <w:spacing w:line="560" w:lineRule="exact"/>
        <w:ind w:firstLine="640"/>
        <w:rPr>
          <w:rFonts w:ascii="仿宋_GB2312" w:hAnsi="仿宋"/>
          <w:color w:val="auto"/>
          <w:sz w:val="32"/>
          <w:szCs w:val="32"/>
          <w:highlight w:val="none"/>
        </w:rPr>
      </w:pPr>
      <w:r>
        <w:rPr>
          <w:rFonts w:hint="eastAsia" w:ascii="仿宋_GB2312" w:hAnsi="仿宋"/>
          <w:color w:val="auto"/>
          <w:sz w:val="32"/>
          <w:szCs w:val="32"/>
          <w:highlight w:val="none"/>
        </w:rPr>
        <w:t>【领导小组办公室】自贸试验区市级工作领导小组办公室承担领导小组日常工作，负责贯彻落实国家和本市关于自贸试验区的决策部署和工作安排，统筹推进、协调落实改革试点任务，起草拟订</w:t>
      </w:r>
      <w:r>
        <w:rPr>
          <w:rFonts w:hint="eastAsia" w:ascii="仿宋_GB2312" w:hAnsi="仿宋"/>
          <w:color w:val="auto"/>
          <w:sz w:val="32"/>
          <w:szCs w:val="32"/>
          <w:highlight w:val="none"/>
          <w:lang w:eastAsia="zh-CN"/>
        </w:rPr>
        <w:t>与自贸试验区有关的</w:t>
      </w:r>
      <w:r>
        <w:rPr>
          <w:rFonts w:hint="eastAsia" w:ascii="仿宋_GB2312" w:hAnsi="仿宋"/>
          <w:color w:val="auto"/>
          <w:sz w:val="32"/>
          <w:szCs w:val="32"/>
          <w:highlight w:val="none"/>
        </w:rPr>
        <w:t>地方性法规草案、政策、规划，开展数据统计、信息</w:t>
      </w:r>
      <w:r>
        <w:rPr>
          <w:rFonts w:hint="eastAsia" w:ascii="仿宋_GB2312" w:hAnsi="仿宋"/>
          <w:color w:val="auto"/>
          <w:sz w:val="32"/>
          <w:szCs w:val="32"/>
          <w:highlight w:val="none"/>
          <w:lang w:eastAsia="zh-CN"/>
        </w:rPr>
        <w:t>发布</w:t>
      </w:r>
      <w:r>
        <w:rPr>
          <w:rFonts w:hint="eastAsia" w:ascii="仿宋_GB2312" w:hAnsi="仿宋"/>
          <w:color w:val="auto"/>
          <w:sz w:val="32"/>
          <w:szCs w:val="32"/>
          <w:highlight w:val="none"/>
        </w:rPr>
        <w:t>、评估考核</w:t>
      </w:r>
      <w:r>
        <w:rPr>
          <w:rFonts w:hint="eastAsia" w:ascii="仿宋_GB2312" w:hAnsi="仿宋"/>
          <w:color w:val="auto"/>
          <w:sz w:val="32"/>
          <w:szCs w:val="32"/>
          <w:highlight w:val="none"/>
          <w:lang w:eastAsia="zh-CN"/>
        </w:rPr>
        <w:t>工作</w:t>
      </w:r>
      <w:r>
        <w:rPr>
          <w:rFonts w:hint="eastAsia" w:ascii="仿宋_GB2312" w:hAnsi="仿宋"/>
          <w:color w:val="auto"/>
          <w:sz w:val="32"/>
          <w:szCs w:val="32"/>
          <w:highlight w:val="none"/>
        </w:rPr>
        <w:t>。负责指导自贸试验区各片区方案制定、招商引资，协助解决跨行政区域的有关事项。</w:t>
      </w:r>
    </w:p>
    <w:p>
      <w:pPr>
        <w:pStyle w:val="13"/>
        <w:snapToGrid w:val="0"/>
        <w:spacing w:line="560" w:lineRule="exact"/>
        <w:ind w:firstLine="0" w:firstLineChars="0"/>
        <w:rPr>
          <w:rFonts w:ascii="仿宋_GB2312" w:hAnsi="微软雅黑"/>
          <w:color w:val="auto"/>
          <w:sz w:val="22"/>
          <w:highlight w:val="none"/>
        </w:rPr>
      </w:pPr>
      <w:r>
        <w:rPr>
          <w:rFonts w:hint="eastAsia" w:ascii="仿宋_GB2312" w:hAnsi="仿宋"/>
          <w:color w:val="auto"/>
          <w:sz w:val="32"/>
          <w:szCs w:val="32"/>
          <w:highlight w:val="none"/>
        </w:rPr>
        <w:t xml:space="preserve"> </w:t>
      </w:r>
      <w:r>
        <w:rPr>
          <w:rFonts w:ascii="仿宋_GB2312" w:hAnsi="仿宋"/>
          <w:color w:val="auto"/>
          <w:sz w:val="32"/>
          <w:szCs w:val="32"/>
          <w:highlight w:val="none"/>
        </w:rPr>
        <w:t xml:space="preserve">   </w:t>
      </w:r>
      <w:r>
        <w:rPr>
          <w:rFonts w:hint="eastAsia" w:ascii="仿宋_GB2312" w:hAnsi="仿宋"/>
          <w:color w:val="auto"/>
          <w:sz w:val="32"/>
          <w:szCs w:val="32"/>
          <w:highlight w:val="none"/>
        </w:rPr>
        <w:t>自贸试验区所在区工作领导小组办公室，承担区级工作领导小组日常工作，负责协调推进区内自贸试验区建设等工作。</w:t>
      </w:r>
    </w:p>
    <w:p>
      <w:pPr>
        <w:pStyle w:val="13"/>
        <w:numPr>
          <w:ilvl w:val="0"/>
          <w:numId w:val="1"/>
        </w:numPr>
        <w:snapToGrid w:val="0"/>
        <w:spacing w:line="560" w:lineRule="exact"/>
        <w:ind w:firstLine="640"/>
        <w:rPr>
          <w:rFonts w:ascii="仿宋_GB2312" w:hAnsi="仿宋"/>
          <w:color w:val="auto"/>
          <w:sz w:val="32"/>
          <w:szCs w:val="32"/>
          <w:highlight w:val="none"/>
        </w:rPr>
      </w:pPr>
      <w:r>
        <w:rPr>
          <w:rFonts w:hint="eastAsia" w:ascii="仿宋_GB2312" w:hAnsi="仿宋"/>
          <w:color w:val="auto"/>
          <w:sz w:val="32"/>
          <w:szCs w:val="32"/>
          <w:highlight w:val="none"/>
        </w:rPr>
        <w:t>【部门职责】市政府有关部门应当按照规定职责推动实施相关领域的制度创新和改革试点，加强与海关、边检、外汇、金融、税务等中央在京机构的沟通协调，争取上级部门授权和改革试点，支持自贸试验区改革创新。</w:t>
      </w:r>
    </w:p>
    <w:p>
      <w:pPr>
        <w:pStyle w:val="13"/>
        <w:numPr>
          <w:ilvl w:val="0"/>
          <w:numId w:val="1"/>
        </w:numPr>
        <w:snapToGrid w:val="0"/>
        <w:spacing w:line="560" w:lineRule="exact"/>
        <w:ind w:firstLine="640"/>
        <w:rPr>
          <w:rFonts w:ascii="仿宋_GB2312" w:hAnsi="仿宋"/>
          <w:color w:val="auto"/>
          <w:sz w:val="32"/>
          <w:szCs w:val="32"/>
          <w:highlight w:val="none"/>
        </w:rPr>
      </w:pPr>
      <w:r>
        <w:rPr>
          <w:rFonts w:hint="eastAsia" w:ascii="仿宋_GB2312" w:hAnsi="仿宋"/>
          <w:color w:val="auto"/>
          <w:sz w:val="32"/>
          <w:szCs w:val="32"/>
          <w:highlight w:val="none"/>
        </w:rPr>
        <w:t>【新型研究机构】本市设立自贸试验区研究机构，在自贸试验区建设发展战略规划、改革举措等方面开展研究，协助做好方案、规划、政策等制定工作，开展国际合作、学术交流、成效评估等业务，吸引培养国际化人才，建设高端智库。研究机构可以在组织架构、运行管理等方面进行创新探索。</w:t>
      </w:r>
    </w:p>
    <w:p>
      <w:pPr>
        <w:pStyle w:val="13"/>
        <w:numPr>
          <w:ilvl w:val="0"/>
          <w:numId w:val="1"/>
        </w:numPr>
        <w:snapToGrid w:val="0"/>
        <w:spacing w:line="560" w:lineRule="exact"/>
        <w:ind w:firstLine="640"/>
        <w:rPr>
          <w:rFonts w:ascii="仿宋_GB2312" w:hAnsi="仿宋"/>
          <w:color w:val="auto"/>
          <w:sz w:val="32"/>
          <w:szCs w:val="32"/>
          <w:highlight w:val="none"/>
        </w:rPr>
      </w:pPr>
      <w:r>
        <w:rPr>
          <w:rFonts w:hint="eastAsia" w:ascii="仿宋_GB2312" w:hAnsi="仿宋"/>
          <w:color w:val="auto"/>
          <w:sz w:val="32"/>
          <w:szCs w:val="32"/>
          <w:highlight w:val="none"/>
        </w:rPr>
        <w:t>【管理机构】自贸试验区所在区应当明确区域管理机构，承担区域综合协调、开发建设、运营管理、产业发展、投资促进、企业服务等职责。</w:t>
      </w:r>
    </w:p>
    <w:p>
      <w:pPr>
        <w:spacing w:line="560" w:lineRule="exact"/>
        <w:ind w:firstLine="640" w:firstLineChars="200"/>
        <w:rPr>
          <w:rFonts w:ascii="仿宋_GB2312" w:hAnsi="微软雅黑"/>
          <w:color w:val="auto"/>
          <w:sz w:val="22"/>
          <w:highlight w:val="none"/>
        </w:rPr>
      </w:pPr>
      <w:r>
        <w:rPr>
          <w:rFonts w:hint="eastAsia" w:ascii="仿宋_GB2312" w:hAnsi="仿宋"/>
          <w:color w:val="auto"/>
          <w:sz w:val="32"/>
          <w:szCs w:val="32"/>
          <w:highlight w:val="none"/>
        </w:rPr>
        <w:t>具备条件的区域可以探索实施法定机构等管理模式。该机构根据开发、建设、管理的实际情况，</w:t>
      </w:r>
      <w:r>
        <w:rPr>
          <w:rFonts w:hint="eastAsia" w:ascii="仿宋_GB2312" w:hAnsi="仿宋"/>
          <w:color w:val="auto"/>
          <w:sz w:val="32"/>
          <w:szCs w:val="32"/>
          <w:highlight w:val="none"/>
          <w:lang w:eastAsia="zh-CN"/>
        </w:rPr>
        <w:t>依法</w:t>
      </w:r>
      <w:r>
        <w:rPr>
          <w:rFonts w:hint="eastAsia" w:ascii="仿宋_GB2312" w:hAnsi="仿宋"/>
          <w:color w:val="auto"/>
          <w:sz w:val="32"/>
          <w:szCs w:val="32"/>
          <w:highlight w:val="none"/>
        </w:rPr>
        <w:t>承接行政管理权限和公共服务职能，并向社会公布管理权限清单。该机构实行企业化管理、市场化运作，在薪酬总额范围内，自主决定机构设置、岗位设置、人员聘用、薪酬标准等，依照有关规定任命的人员除外。</w:t>
      </w:r>
    </w:p>
    <w:p>
      <w:pPr>
        <w:pStyle w:val="13"/>
        <w:numPr>
          <w:ilvl w:val="0"/>
          <w:numId w:val="1"/>
        </w:numPr>
        <w:snapToGrid w:val="0"/>
        <w:spacing w:line="560" w:lineRule="exact"/>
        <w:ind w:firstLine="640"/>
        <w:rPr>
          <w:rFonts w:ascii="仿宋_GB2312" w:hAnsi="仿宋"/>
          <w:color w:val="auto"/>
          <w:sz w:val="32"/>
          <w:szCs w:val="32"/>
          <w:highlight w:val="none"/>
        </w:rPr>
      </w:pPr>
      <w:r>
        <w:rPr>
          <w:rFonts w:hint="eastAsia" w:ascii="仿宋_GB2312" w:hAnsi="仿宋"/>
          <w:color w:val="auto"/>
          <w:sz w:val="32"/>
          <w:szCs w:val="32"/>
          <w:highlight w:val="none"/>
        </w:rPr>
        <w:t>【权限下放】北京市人民政府根据自贸试验区改革创新发展需要，按照规定向自贸试验区所在区人民政府或区域管理机构下放管理权限。下放管理权限应当结合各区域产业优势和功能定位实施特色化赋权，并进行动态调整。自贸试验区所在区人民政府或区域管理机构应当制定并向社会公开权责清单，并根据法律、法规、规章调整及职责任务变化情况，及时动态调整。管理权限下放的各市级部门要加强指导、协调和监督。</w:t>
      </w:r>
    </w:p>
    <w:p>
      <w:pPr>
        <w:pStyle w:val="13"/>
        <w:numPr>
          <w:ilvl w:val="0"/>
          <w:numId w:val="1"/>
        </w:numPr>
        <w:snapToGrid w:val="0"/>
        <w:spacing w:line="560" w:lineRule="exact"/>
        <w:ind w:firstLine="640"/>
        <w:rPr>
          <w:rFonts w:ascii="仿宋_GB2312" w:hAnsi="仿宋"/>
          <w:color w:val="auto"/>
          <w:sz w:val="32"/>
          <w:szCs w:val="32"/>
          <w:highlight w:val="none"/>
        </w:rPr>
      </w:pPr>
      <w:r>
        <w:rPr>
          <w:rFonts w:hint="eastAsia" w:ascii="仿宋_GB2312" w:hAnsi="仿宋"/>
          <w:color w:val="auto"/>
          <w:sz w:val="32"/>
          <w:szCs w:val="32"/>
          <w:highlight w:val="none"/>
        </w:rPr>
        <w:t>【统计监测制度】本市建立健全自贸试验区统计监测制度。各有关部门应根据职责定期开展自贸试验区经济运行和制度创新等情况的指标数据统计，及时、准确报送统计数据。</w:t>
      </w:r>
    </w:p>
    <w:p>
      <w:pPr>
        <w:pStyle w:val="13"/>
        <w:snapToGrid w:val="0"/>
        <w:spacing w:line="560" w:lineRule="exact"/>
        <w:ind w:left="420" w:firstLine="0" w:firstLineChars="0"/>
        <w:rPr>
          <w:color w:val="auto"/>
          <w:highlight w:val="none"/>
        </w:rPr>
      </w:pPr>
      <w:bookmarkStart w:id="3" w:name="_Toc79312585"/>
    </w:p>
    <w:p>
      <w:pPr>
        <w:pStyle w:val="2"/>
        <w:spacing w:line="560" w:lineRule="exact"/>
        <w:rPr>
          <w:rFonts w:hAnsi="微软雅黑"/>
          <w:color w:val="auto"/>
          <w:highlight w:val="none"/>
        </w:rPr>
      </w:pPr>
      <w:r>
        <w:rPr>
          <w:rFonts w:hint="eastAsia"/>
          <w:color w:val="auto"/>
          <w:highlight w:val="none"/>
        </w:rPr>
        <w:t>第三章 投资开放与贸易便利</w:t>
      </w:r>
      <w:bookmarkEnd w:id="3"/>
    </w:p>
    <w:p>
      <w:pPr>
        <w:pStyle w:val="13"/>
        <w:numPr>
          <w:ilvl w:val="0"/>
          <w:numId w:val="1"/>
        </w:numPr>
        <w:snapToGrid w:val="0"/>
        <w:spacing w:line="560" w:lineRule="exact"/>
        <w:ind w:firstLine="640"/>
        <w:rPr>
          <w:rFonts w:ascii="仿宋_GB2312" w:hAnsi="仿宋"/>
          <w:color w:val="auto"/>
          <w:sz w:val="32"/>
          <w:szCs w:val="32"/>
          <w:highlight w:val="none"/>
        </w:rPr>
      </w:pPr>
      <w:r>
        <w:rPr>
          <w:rFonts w:hint="eastAsia" w:ascii="仿宋_GB2312" w:hAnsi="仿宋"/>
          <w:color w:val="auto"/>
          <w:sz w:val="32"/>
          <w:szCs w:val="32"/>
          <w:highlight w:val="none"/>
        </w:rPr>
        <w:t>【负面清单】自贸试验区依法实施外商投资准入前国民待遇加负面清单管理制度。自贸试验区负面清单之外的领域，按照内外资一致原则实施管理。外商投资企业依法平等适用国家支持企业发展的各项政策。</w:t>
      </w:r>
    </w:p>
    <w:p>
      <w:pPr>
        <w:snapToGrid w:val="0"/>
        <w:spacing w:line="560" w:lineRule="exact"/>
        <w:ind w:firstLine="640" w:firstLineChars="200"/>
        <w:rPr>
          <w:rFonts w:ascii="仿宋_GB2312" w:hAnsi="仿宋"/>
          <w:color w:val="auto"/>
          <w:sz w:val="32"/>
          <w:szCs w:val="32"/>
          <w:highlight w:val="none"/>
        </w:rPr>
      </w:pPr>
      <w:r>
        <w:rPr>
          <w:rFonts w:hint="eastAsia" w:ascii="仿宋_GB2312" w:hAnsi="仿宋"/>
          <w:color w:val="auto"/>
          <w:sz w:val="32"/>
          <w:szCs w:val="32"/>
          <w:highlight w:val="none"/>
        </w:rPr>
        <w:t>自贸试验区落实跨境服务贸易负面清单，对于境外服务提供者以跨境交付、境外消费、自然人移动等模式提供服务的，按照国家有关规定执行。对负面清单之外的跨境服务贸易，按照内外一致原则</w:t>
      </w:r>
      <w:r>
        <w:rPr>
          <w:rFonts w:hint="eastAsia" w:ascii="仿宋_GB2312" w:hAnsi="仿宋"/>
          <w:color w:val="auto"/>
          <w:sz w:val="32"/>
          <w:szCs w:val="32"/>
          <w:highlight w:val="none"/>
          <w:lang w:eastAsia="zh-CN"/>
        </w:rPr>
        <w:t>实施</w:t>
      </w:r>
      <w:r>
        <w:rPr>
          <w:rFonts w:hint="eastAsia" w:ascii="仿宋_GB2312" w:hAnsi="仿宋"/>
          <w:color w:val="auto"/>
          <w:sz w:val="32"/>
          <w:szCs w:val="32"/>
          <w:highlight w:val="none"/>
        </w:rPr>
        <w:t>管理。</w:t>
      </w:r>
    </w:p>
    <w:p>
      <w:pPr>
        <w:pStyle w:val="13"/>
        <w:numPr>
          <w:ilvl w:val="0"/>
          <w:numId w:val="1"/>
        </w:numPr>
        <w:snapToGrid w:val="0"/>
        <w:spacing w:line="560" w:lineRule="exact"/>
        <w:ind w:firstLine="640"/>
        <w:rPr>
          <w:rFonts w:ascii="仿宋_GB2312" w:hAnsi="仿宋"/>
          <w:color w:val="auto"/>
          <w:sz w:val="32"/>
          <w:szCs w:val="32"/>
          <w:highlight w:val="none"/>
        </w:rPr>
      </w:pPr>
      <w:r>
        <w:rPr>
          <w:rFonts w:hint="eastAsia" w:ascii="仿宋_GB2312" w:hAnsi="仿宋"/>
          <w:color w:val="auto"/>
          <w:sz w:val="32"/>
          <w:szCs w:val="32"/>
          <w:highlight w:val="none"/>
        </w:rPr>
        <w:t>【</w:t>
      </w:r>
      <w:r>
        <w:rPr>
          <w:rFonts w:hint="eastAsia" w:ascii="仿宋_GB2312" w:hAnsi="仿宋"/>
          <w:color w:val="auto"/>
          <w:sz w:val="32"/>
          <w:szCs w:val="32"/>
          <w:highlight w:val="none"/>
          <w:lang w:eastAsia="zh-CN"/>
        </w:rPr>
        <w:t>服务和</w:t>
      </w:r>
      <w:r>
        <w:rPr>
          <w:rFonts w:hint="eastAsia" w:ascii="仿宋_GB2312" w:hAnsi="仿宋"/>
          <w:color w:val="auto"/>
          <w:sz w:val="32"/>
          <w:szCs w:val="32"/>
          <w:highlight w:val="none"/>
        </w:rPr>
        <w:t>激励机制】自贸试验区创新招商引资形式，建立健全投资促进、投资保护工作机制，市投资促进部门加强对项目引入、推介活动等招商引资工作统筹，建立重大项目协调调度和项目促进专员全流程跟踪服务机制，健全外商投资企业投诉工作机制，保护外商投资合法权益。</w:t>
      </w:r>
    </w:p>
    <w:p>
      <w:pPr>
        <w:pStyle w:val="13"/>
        <w:numPr>
          <w:numId w:val="0"/>
        </w:numPr>
        <w:snapToGrid w:val="0"/>
        <w:spacing w:line="560" w:lineRule="exact"/>
        <w:ind w:firstLine="640" w:firstLineChars="200"/>
        <w:rPr>
          <w:rFonts w:ascii="仿宋_GB2312" w:hAnsi="仿宋"/>
          <w:color w:val="auto"/>
          <w:sz w:val="32"/>
          <w:szCs w:val="32"/>
          <w:highlight w:val="none"/>
        </w:rPr>
      </w:pPr>
      <w:r>
        <w:rPr>
          <w:rFonts w:hint="eastAsia" w:ascii="仿宋_GB2312" w:hAnsi="仿宋"/>
          <w:color w:val="auto"/>
          <w:sz w:val="32"/>
          <w:szCs w:val="32"/>
          <w:highlight w:val="none"/>
        </w:rPr>
        <w:t>建立新设企业和项目激励机制，探索对引进企业、机构和推动项目建设作出突出贡献的单位和个人进行奖励，具体办法由市投资促进部门和自贸试验区所在区负责制定并实施。</w:t>
      </w:r>
    </w:p>
    <w:p>
      <w:pPr>
        <w:pStyle w:val="13"/>
        <w:numPr>
          <w:ilvl w:val="0"/>
          <w:numId w:val="1"/>
        </w:numPr>
        <w:snapToGrid w:val="0"/>
        <w:spacing w:line="560" w:lineRule="exact"/>
        <w:ind w:firstLine="640"/>
        <w:rPr>
          <w:rFonts w:ascii="仿宋_GB2312" w:hAnsi="仿宋"/>
          <w:color w:val="auto"/>
          <w:sz w:val="32"/>
          <w:szCs w:val="32"/>
          <w:highlight w:val="none"/>
        </w:rPr>
      </w:pPr>
      <w:r>
        <w:rPr>
          <w:rFonts w:hint="eastAsia" w:ascii="仿宋_GB2312" w:hAnsi="仿宋"/>
          <w:color w:val="auto"/>
          <w:sz w:val="32"/>
          <w:szCs w:val="32"/>
          <w:highlight w:val="none"/>
        </w:rPr>
        <w:t>【总部设立】鼓励外商投资企业在自贸试验区设立地区总部及外资研发总部等多形态总部，支持总部企业开展实体化经营，支持符合首都城市战略定位的总部企业持续在京高质量发展。</w:t>
      </w:r>
    </w:p>
    <w:p>
      <w:pPr>
        <w:pStyle w:val="13"/>
        <w:numPr>
          <w:ilvl w:val="0"/>
          <w:numId w:val="1"/>
        </w:numPr>
        <w:snapToGrid w:val="0"/>
        <w:spacing w:line="560" w:lineRule="exact"/>
        <w:ind w:firstLine="640"/>
        <w:rPr>
          <w:rFonts w:ascii="仿宋_GB2312" w:hAnsi="仿宋"/>
          <w:color w:val="auto"/>
          <w:sz w:val="32"/>
          <w:szCs w:val="32"/>
          <w:highlight w:val="none"/>
        </w:rPr>
      </w:pPr>
      <w:r>
        <w:rPr>
          <w:rFonts w:hint="eastAsia" w:ascii="仿宋_GB2312" w:hAnsi="仿宋"/>
          <w:color w:val="auto"/>
          <w:sz w:val="32"/>
          <w:szCs w:val="32"/>
          <w:highlight w:val="none"/>
        </w:rPr>
        <w:t>【便利境外投资】自贸试验区推动完善境外投资综合服务和风险防控体系，鼓励区内企业和个人开展多种形式的境外投资合作。优化境外投资备案、管理流程，探索实现区内企业境外投资项目一表申报，提高境外投资便利化水平。建立完善企业境外投资综合服务平台，整合信息和服务资源，为企业境外投资提供服务保障。</w:t>
      </w:r>
    </w:p>
    <w:p>
      <w:pPr>
        <w:pStyle w:val="13"/>
        <w:numPr>
          <w:ilvl w:val="0"/>
          <w:numId w:val="1"/>
        </w:numPr>
        <w:snapToGrid w:val="0"/>
        <w:spacing w:line="560" w:lineRule="exact"/>
        <w:ind w:firstLine="640"/>
        <w:rPr>
          <w:rFonts w:ascii="仿宋_GB2312" w:hAnsi="仿宋"/>
          <w:color w:val="auto"/>
          <w:sz w:val="32"/>
          <w:szCs w:val="32"/>
          <w:highlight w:val="none"/>
        </w:rPr>
      </w:pPr>
      <w:r>
        <w:rPr>
          <w:rFonts w:hint="eastAsia" w:ascii="仿宋_GB2312" w:hAnsi="仿宋"/>
          <w:color w:val="auto"/>
          <w:sz w:val="32"/>
          <w:szCs w:val="32"/>
          <w:highlight w:val="none"/>
        </w:rPr>
        <w:t>【单一窗口】自贸试验区鼓励实行</w:t>
      </w:r>
      <w:bookmarkStart w:id="4" w:name="_Hlk80561371"/>
      <w:r>
        <w:rPr>
          <w:rFonts w:hint="eastAsia" w:ascii="仿宋_GB2312" w:hAnsi="仿宋"/>
          <w:color w:val="auto"/>
          <w:sz w:val="32"/>
          <w:szCs w:val="32"/>
          <w:highlight w:val="none"/>
        </w:rPr>
        <w:t>国际贸易“单一窗口”服务</w:t>
      </w:r>
      <w:bookmarkEnd w:id="4"/>
      <w:r>
        <w:rPr>
          <w:rFonts w:hint="eastAsia" w:ascii="仿宋_GB2312" w:hAnsi="仿宋"/>
          <w:color w:val="auto"/>
          <w:sz w:val="32"/>
          <w:szCs w:val="32"/>
          <w:highlight w:val="none"/>
        </w:rPr>
        <w:t>模式，拓展符合自贸试验区创新发展的业务服务功能，实现海关、边检、税务、外汇等口岸管理部门信息共享、监管互认、执法互助。</w:t>
      </w:r>
    </w:p>
    <w:p>
      <w:pPr>
        <w:pStyle w:val="13"/>
        <w:numPr>
          <w:ilvl w:val="0"/>
          <w:numId w:val="1"/>
        </w:numPr>
        <w:snapToGrid w:val="0"/>
        <w:spacing w:line="560" w:lineRule="exact"/>
        <w:ind w:firstLine="640"/>
        <w:rPr>
          <w:rFonts w:ascii="仿宋_GB2312" w:hAnsi="仿宋"/>
          <w:color w:val="auto"/>
          <w:sz w:val="32"/>
          <w:szCs w:val="32"/>
          <w:highlight w:val="none"/>
        </w:rPr>
      </w:pPr>
      <w:r>
        <w:rPr>
          <w:rFonts w:hint="eastAsia" w:ascii="仿宋_GB2312" w:hAnsi="仿宋"/>
          <w:color w:val="auto"/>
          <w:sz w:val="32"/>
          <w:szCs w:val="32"/>
          <w:highlight w:val="none"/>
        </w:rPr>
        <w:t>【便捷通关】自贸试验区应对标国际通行规则，实施高水平的贸易自由化便利措施，按照通关便利、安全高效的要求，压缩口岸通关时间，优化监管模式和程序，提高通关效率，降低进出口环节合规成本。</w:t>
      </w:r>
    </w:p>
    <w:p>
      <w:pPr>
        <w:snapToGrid w:val="0"/>
        <w:spacing w:line="560" w:lineRule="exact"/>
        <w:ind w:firstLine="707" w:firstLineChars="221"/>
        <w:rPr>
          <w:rFonts w:ascii="仿宋_GB2312" w:hAnsi="仿宋"/>
          <w:color w:val="auto"/>
          <w:sz w:val="32"/>
          <w:szCs w:val="32"/>
          <w:highlight w:val="none"/>
        </w:rPr>
      </w:pPr>
      <w:r>
        <w:rPr>
          <w:rFonts w:hint="eastAsia" w:ascii="仿宋_GB2312" w:hAnsi="仿宋"/>
          <w:color w:val="auto"/>
          <w:sz w:val="32"/>
          <w:szCs w:val="32"/>
          <w:highlight w:val="none"/>
        </w:rPr>
        <w:t>加大海关高级认证企业培育力度，对通过认证的企业给予通关便利。</w:t>
      </w:r>
    </w:p>
    <w:p>
      <w:pPr>
        <w:pStyle w:val="13"/>
        <w:numPr>
          <w:ilvl w:val="0"/>
          <w:numId w:val="1"/>
        </w:numPr>
        <w:spacing w:line="560" w:lineRule="exact"/>
        <w:ind w:firstLine="640"/>
        <w:rPr>
          <w:rFonts w:ascii="仿宋_GB2312" w:hAnsi="仿宋"/>
          <w:color w:val="auto"/>
          <w:sz w:val="32"/>
          <w:szCs w:val="32"/>
          <w:highlight w:val="none"/>
        </w:rPr>
      </w:pPr>
      <w:r>
        <w:rPr>
          <w:rFonts w:hint="eastAsia" w:ascii="仿宋_GB2312" w:hAnsi="仿宋"/>
          <w:color w:val="auto"/>
          <w:sz w:val="32"/>
          <w:szCs w:val="32"/>
          <w:highlight w:val="none"/>
        </w:rPr>
        <w:t>【鼓励新兴贸易】自贸试验区</w:t>
      </w:r>
      <w:r>
        <w:rPr>
          <w:rFonts w:hint="eastAsia" w:ascii="仿宋_GB2312" w:hAnsi="仿宋"/>
          <w:color w:val="auto"/>
          <w:sz w:val="32"/>
          <w:szCs w:val="32"/>
          <w:highlight w:val="none"/>
          <w:lang w:eastAsia="zh-CN"/>
        </w:rPr>
        <w:t>鼓励国际贸易新业态、新模式、新技术加快发展。促进跨境电商持续健康发展，</w:t>
      </w:r>
      <w:r>
        <w:rPr>
          <w:rFonts w:hint="eastAsia" w:ascii="仿宋_GB2312" w:hAnsi="仿宋"/>
          <w:color w:val="auto"/>
          <w:sz w:val="32"/>
          <w:szCs w:val="32"/>
          <w:highlight w:val="none"/>
        </w:rPr>
        <w:t>优化监管</w:t>
      </w:r>
      <w:r>
        <w:rPr>
          <w:rFonts w:ascii="仿宋_GB2312" w:hAnsi="仿宋"/>
          <w:color w:val="auto"/>
          <w:sz w:val="32"/>
          <w:szCs w:val="32"/>
          <w:highlight w:val="none"/>
        </w:rPr>
        <w:t>,探索跨境电商交易全流程创新</w:t>
      </w:r>
      <w:r>
        <w:rPr>
          <w:rFonts w:hint="eastAsia" w:ascii="仿宋_GB2312" w:hAnsi="仿宋"/>
          <w:color w:val="auto"/>
          <w:sz w:val="32"/>
          <w:szCs w:val="32"/>
          <w:highlight w:val="none"/>
          <w:lang w:eastAsia="zh-CN"/>
        </w:rPr>
        <w:t>。</w:t>
      </w:r>
      <w:r>
        <w:rPr>
          <w:rFonts w:hint="eastAsia" w:ascii="仿宋_GB2312" w:hAnsi="仿宋"/>
          <w:color w:val="auto"/>
          <w:sz w:val="32"/>
          <w:szCs w:val="32"/>
          <w:highlight w:val="none"/>
        </w:rPr>
        <w:t>开展跨境电子商务零售进口药品试点，允许通过跨境电商渠道进口部分医疗产品，支持药品和</w:t>
      </w:r>
      <w:r>
        <w:rPr>
          <w:rFonts w:ascii="仿宋_GB2312" w:hAnsi="仿宋"/>
          <w:color w:val="auto"/>
          <w:sz w:val="32"/>
          <w:szCs w:val="32"/>
          <w:highlight w:val="none"/>
        </w:rPr>
        <w:tab/>
      </w:r>
      <w:r>
        <w:rPr>
          <w:rFonts w:hint="eastAsia" w:ascii="仿宋_GB2312" w:hAnsi="仿宋"/>
          <w:color w:val="auto"/>
          <w:sz w:val="32"/>
          <w:szCs w:val="32"/>
          <w:highlight w:val="none"/>
        </w:rPr>
        <w:t>医疗器械出口。鼓励绿色贸易发展，扩大绿色产品贸易，推动国际贸易与生态环境协调发展。</w:t>
      </w:r>
      <w:r>
        <w:rPr>
          <w:rFonts w:hint="eastAsia" w:ascii="仿宋_GB2312" w:hAnsi="仿宋"/>
          <w:color w:val="auto"/>
          <w:sz w:val="32"/>
          <w:szCs w:val="32"/>
          <w:highlight w:val="none"/>
          <w:lang w:eastAsia="zh-CN"/>
        </w:rPr>
        <w:t>探索发展离岸贸易、新型易货贸易等新型贸易方式。</w:t>
      </w:r>
    </w:p>
    <w:p>
      <w:pPr>
        <w:pStyle w:val="13"/>
        <w:numPr>
          <w:ilvl w:val="0"/>
          <w:numId w:val="1"/>
        </w:numPr>
        <w:spacing w:line="560" w:lineRule="exact"/>
        <w:ind w:firstLine="640"/>
        <w:rPr>
          <w:rFonts w:ascii="仿宋_GB2312" w:hAnsi="仿宋"/>
          <w:color w:val="auto"/>
          <w:sz w:val="32"/>
          <w:szCs w:val="32"/>
          <w:highlight w:val="none"/>
        </w:rPr>
      </w:pPr>
      <w:r>
        <w:rPr>
          <w:rFonts w:hint="eastAsia" w:ascii="仿宋_GB2312" w:hAnsi="仿宋"/>
          <w:color w:val="auto"/>
          <w:sz w:val="32"/>
          <w:szCs w:val="32"/>
          <w:highlight w:val="none"/>
        </w:rPr>
        <w:t>【鼓励服务贸易发展】自贸试验区鼓励服务贸易创新发展，</w:t>
      </w:r>
      <w:r>
        <w:rPr>
          <w:rFonts w:hint="eastAsia" w:ascii="仿宋_GB2312" w:hAnsi="仿宋"/>
          <w:color w:val="auto"/>
          <w:sz w:val="32"/>
          <w:szCs w:val="32"/>
          <w:highlight w:val="none"/>
          <w:lang w:eastAsia="zh-CN"/>
        </w:rPr>
        <w:t>优化服务进出口结构，</w:t>
      </w:r>
      <w:r>
        <w:rPr>
          <w:rFonts w:hint="eastAsia" w:ascii="仿宋_GB2312" w:hAnsi="仿宋"/>
          <w:color w:val="auto"/>
          <w:sz w:val="32"/>
          <w:szCs w:val="32"/>
          <w:highlight w:val="none"/>
          <w:lang w:val="en-US" w:eastAsia="zh-CN"/>
        </w:rPr>
        <w:tab/>
      </w:r>
      <w:r>
        <w:rPr>
          <w:rFonts w:hint="eastAsia" w:ascii="仿宋_GB2312" w:hAnsi="仿宋"/>
          <w:color w:val="auto"/>
          <w:sz w:val="32"/>
          <w:szCs w:val="32"/>
          <w:highlight w:val="none"/>
        </w:rPr>
        <w:t>探索建设特色服务出口基地，拓展新兴服务贸易模式。</w:t>
      </w:r>
      <w:r>
        <w:rPr>
          <w:rFonts w:hint="eastAsia" w:ascii="仿宋_GB2312" w:hAnsi="仿宋"/>
          <w:color w:val="auto"/>
          <w:sz w:val="32"/>
          <w:szCs w:val="32"/>
          <w:highlight w:val="none"/>
          <w:lang w:eastAsia="zh-CN"/>
        </w:rPr>
        <w:t>推动服务外包转型升级，鼓励研发、设计、维修、咨询等领域服务外包发展。</w:t>
      </w:r>
      <w:r>
        <w:rPr>
          <w:rFonts w:hint="eastAsia" w:ascii="仿宋_GB2312" w:hAnsi="仿宋"/>
          <w:color w:val="auto"/>
          <w:sz w:val="32"/>
          <w:szCs w:val="32"/>
          <w:highlight w:val="none"/>
        </w:rPr>
        <w:t>做大做强中国国际服务贸易交易会，提高市场化、国际化程度，打造国家级、国际性、综合型服务贸易平台。</w:t>
      </w:r>
    </w:p>
    <w:p>
      <w:pPr>
        <w:pStyle w:val="13"/>
        <w:numPr>
          <w:ilvl w:val="0"/>
          <w:numId w:val="1"/>
        </w:numPr>
        <w:snapToGrid w:val="0"/>
        <w:spacing w:line="560" w:lineRule="exact"/>
        <w:ind w:firstLine="640"/>
        <w:rPr>
          <w:rFonts w:ascii="仿宋_GB2312" w:hAnsi="仿宋"/>
          <w:color w:val="auto"/>
          <w:sz w:val="32"/>
          <w:szCs w:val="32"/>
          <w:highlight w:val="none"/>
        </w:rPr>
      </w:pPr>
      <w:r>
        <w:rPr>
          <w:rFonts w:hint="eastAsia" w:ascii="仿宋_GB2312" w:hAnsi="仿宋"/>
          <w:color w:val="auto"/>
          <w:sz w:val="32"/>
          <w:szCs w:val="32"/>
          <w:highlight w:val="none"/>
        </w:rPr>
        <w:t>【综合保税区】支持自贸试验区内的综合保税区结合自身实际强化主导功能，培育特色产业</w:t>
      </w:r>
      <w:r>
        <w:rPr>
          <w:rFonts w:hint="eastAsia" w:ascii="仿宋_GB2312" w:hAnsi="仿宋"/>
          <w:color w:val="auto"/>
          <w:sz w:val="32"/>
          <w:szCs w:val="32"/>
          <w:highlight w:val="none"/>
          <w:lang w:eastAsia="zh-CN"/>
        </w:rPr>
        <w:t>。</w:t>
      </w:r>
      <w:r>
        <w:rPr>
          <w:rFonts w:hint="eastAsia" w:ascii="仿宋_GB2312" w:hAnsi="仿宋"/>
          <w:color w:val="auto"/>
          <w:sz w:val="32"/>
          <w:szCs w:val="32"/>
          <w:highlight w:val="none"/>
        </w:rPr>
        <w:t>鼓励发展保税研发、保税展示、保税维修等保税服务，持续推进监管模式创新、业态创新、体制创新，形成优势互补、错位发展的综合保税区发展格局。支持确有条件的区域根据实际需要申报综合保税区。</w:t>
      </w:r>
    </w:p>
    <w:p>
      <w:pPr>
        <w:spacing w:line="560" w:lineRule="exact"/>
        <w:rPr>
          <w:color w:val="auto"/>
          <w:highlight w:val="none"/>
        </w:rPr>
      </w:pPr>
      <w:bookmarkStart w:id="5" w:name="_Toc79312586"/>
    </w:p>
    <w:bookmarkEnd w:id="5"/>
    <w:p>
      <w:pPr>
        <w:pStyle w:val="2"/>
        <w:spacing w:line="560" w:lineRule="exact"/>
        <w:rPr>
          <w:rFonts w:hAnsi="微软雅黑"/>
          <w:color w:val="auto"/>
          <w:highlight w:val="none"/>
        </w:rPr>
      </w:pPr>
      <w:bookmarkStart w:id="6" w:name="_Toc79312587"/>
      <w:r>
        <w:rPr>
          <w:rFonts w:hint="eastAsia"/>
          <w:color w:val="auto"/>
          <w:highlight w:val="none"/>
        </w:rPr>
        <w:t>第四章 科技创新</w:t>
      </w:r>
      <w:bookmarkEnd w:id="6"/>
    </w:p>
    <w:p>
      <w:pPr>
        <w:pStyle w:val="13"/>
        <w:numPr>
          <w:ilvl w:val="0"/>
          <w:numId w:val="1"/>
        </w:numPr>
        <w:snapToGrid w:val="0"/>
        <w:spacing w:line="560" w:lineRule="exact"/>
        <w:ind w:firstLine="640"/>
        <w:rPr>
          <w:rFonts w:ascii="仿宋_GB2312" w:hAnsi="仿宋"/>
          <w:color w:val="auto"/>
          <w:sz w:val="32"/>
          <w:szCs w:val="32"/>
          <w:highlight w:val="none"/>
        </w:rPr>
      </w:pPr>
      <w:r>
        <w:rPr>
          <w:rFonts w:hint="eastAsia" w:ascii="仿宋_GB2312" w:hAnsi="仿宋"/>
          <w:color w:val="auto"/>
          <w:sz w:val="32"/>
          <w:szCs w:val="32"/>
          <w:highlight w:val="none"/>
        </w:rPr>
        <w:t>【科技创新驱动发展】自贸试验区服务国际科技创新中心建设，</w:t>
      </w:r>
      <w:r>
        <w:rPr>
          <w:rFonts w:hint="eastAsia" w:ascii="仿宋_GB2312" w:hAnsi="仿宋"/>
          <w:color w:val="auto"/>
          <w:sz w:val="32"/>
          <w:szCs w:val="32"/>
          <w:highlight w:val="none"/>
          <w:lang w:eastAsia="zh-CN"/>
        </w:rPr>
        <w:t>提升全球创新资源集聚水平</w:t>
      </w:r>
      <w:r>
        <w:rPr>
          <w:rFonts w:hint="eastAsia" w:ascii="仿宋_GB2312" w:hAnsi="仿宋"/>
          <w:color w:val="auto"/>
          <w:sz w:val="32"/>
          <w:szCs w:val="32"/>
          <w:highlight w:val="none"/>
        </w:rPr>
        <w:t>，搭建高端开放创新平台，强化国际合作，加强知识产权保护，激发创新创业活力。</w:t>
      </w:r>
    </w:p>
    <w:p>
      <w:pPr>
        <w:pStyle w:val="13"/>
        <w:numPr>
          <w:ilvl w:val="0"/>
          <w:numId w:val="1"/>
        </w:numPr>
        <w:snapToGrid w:val="0"/>
        <w:spacing w:line="560" w:lineRule="exact"/>
        <w:ind w:firstLine="640"/>
        <w:rPr>
          <w:rFonts w:ascii="仿宋_GB2312" w:hAnsi="仿宋"/>
          <w:color w:val="auto"/>
          <w:sz w:val="32"/>
          <w:szCs w:val="32"/>
          <w:highlight w:val="none"/>
        </w:rPr>
      </w:pPr>
      <w:r>
        <w:rPr>
          <w:rFonts w:hint="eastAsia" w:ascii="仿宋_GB2312" w:hAnsi="仿宋"/>
          <w:color w:val="auto"/>
          <w:sz w:val="32"/>
          <w:szCs w:val="32"/>
          <w:highlight w:val="none"/>
        </w:rPr>
        <w:t>【引进和培育研发机构】自贸试验区推动各类研发机构集聚，</w:t>
      </w:r>
      <w:r>
        <w:rPr>
          <w:rFonts w:hint="eastAsia" w:ascii="仿宋_GB2312" w:hAnsi="仿宋"/>
          <w:color w:val="auto"/>
          <w:sz w:val="32"/>
          <w:szCs w:val="32"/>
          <w:highlight w:val="none"/>
          <w:lang w:eastAsia="zh-CN"/>
        </w:rPr>
        <w:t>鼓励科技领军企业在区内注册，</w:t>
      </w:r>
      <w:r>
        <w:rPr>
          <w:rFonts w:hint="eastAsia" w:ascii="仿宋_GB2312" w:hAnsi="仿宋"/>
          <w:color w:val="auto"/>
          <w:sz w:val="32"/>
          <w:szCs w:val="32"/>
          <w:highlight w:val="none"/>
        </w:rPr>
        <w:t>支持</w:t>
      </w:r>
      <w:r>
        <w:rPr>
          <w:rFonts w:hint="eastAsia" w:ascii="仿宋_GB2312" w:hAnsi="仿宋"/>
          <w:color w:val="auto"/>
          <w:sz w:val="32"/>
          <w:szCs w:val="32"/>
          <w:highlight w:val="none"/>
          <w:lang w:eastAsia="zh-CN"/>
        </w:rPr>
        <w:t>领军</w:t>
      </w:r>
      <w:r>
        <w:rPr>
          <w:rFonts w:hint="eastAsia" w:ascii="仿宋_GB2312" w:hAnsi="仿宋"/>
          <w:color w:val="auto"/>
          <w:sz w:val="32"/>
          <w:szCs w:val="32"/>
          <w:highlight w:val="none"/>
        </w:rPr>
        <w:t>企业牵头建设国家重点实验室，支持企业设立研发中心；鼓励设立</w:t>
      </w:r>
      <w:r>
        <w:rPr>
          <w:rFonts w:hint="eastAsia" w:ascii="仿宋_GB2312" w:hAnsi="仿宋"/>
          <w:color w:val="auto"/>
          <w:sz w:val="32"/>
          <w:szCs w:val="32"/>
          <w:highlight w:val="none"/>
          <w:lang w:eastAsia="zh-CN"/>
        </w:rPr>
        <w:t>科教基础设施和</w:t>
      </w:r>
      <w:r>
        <w:rPr>
          <w:rFonts w:hint="eastAsia" w:ascii="仿宋_GB2312" w:hAnsi="仿宋"/>
          <w:color w:val="auto"/>
          <w:sz w:val="32"/>
          <w:szCs w:val="32"/>
          <w:highlight w:val="none"/>
        </w:rPr>
        <w:t>交叉研究平台；建设、培育世界一流新型研发机构，支持国家实验室建设。</w:t>
      </w:r>
    </w:p>
    <w:p>
      <w:pPr>
        <w:pStyle w:val="13"/>
        <w:numPr>
          <w:ilvl w:val="0"/>
          <w:numId w:val="1"/>
        </w:numPr>
        <w:snapToGrid w:val="0"/>
        <w:spacing w:line="560" w:lineRule="exact"/>
        <w:ind w:firstLine="640"/>
        <w:rPr>
          <w:rFonts w:ascii="仿宋_GB2312" w:hAnsi="仿宋"/>
          <w:color w:val="auto"/>
          <w:sz w:val="32"/>
          <w:szCs w:val="32"/>
          <w:highlight w:val="none"/>
          <w:shd w:val="clear" w:color="auto" w:fill="98FA1C"/>
        </w:rPr>
      </w:pPr>
      <w:r>
        <w:rPr>
          <w:rFonts w:hint="eastAsia" w:ascii="仿宋_GB2312" w:hAnsi="仿宋"/>
          <w:color w:val="auto"/>
          <w:sz w:val="32"/>
          <w:szCs w:val="32"/>
          <w:highlight w:val="none"/>
        </w:rPr>
        <w:t>【强化</w:t>
      </w:r>
      <w:r>
        <w:rPr>
          <w:rFonts w:hint="eastAsia" w:ascii="仿宋_GB2312" w:hAnsi="仿宋"/>
          <w:color w:val="auto"/>
          <w:sz w:val="32"/>
          <w:szCs w:val="32"/>
          <w:highlight w:val="none"/>
          <w:lang w:eastAsia="zh-CN"/>
        </w:rPr>
        <w:t>机制保障</w:t>
      </w:r>
      <w:r>
        <w:rPr>
          <w:rFonts w:hint="eastAsia" w:ascii="仿宋_GB2312" w:hAnsi="仿宋"/>
          <w:color w:val="auto"/>
          <w:sz w:val="32"/>
          <w:szCs w:val="32"/>
          <w:highlight w:val="none"/>
        </w:rPr>
        <w:t>】自贸试验区</w:t>
      </w:r>
      <w:r>
        <w:rPr>
          <w:rFonts w:hint="eastAsia" w:ascii="仿宋_GB2312" w:hAnsi="仿宋"/>
          <w:color w:val="auto"/>
          <w:sz w:val="32"/>
          <w:szCs w:val="32"/>
          <w:highlight w:val="none"/>
          <w:lang w:eastAsia="zh-CN"/>
        </w:rPr>
        <w:t>建立科技创新对接、服务机制，优化人才引进、空间资源、土地使用等配套保障措施。</w:t>
      </w:r>
      <w:r>
        <w:rPr>
          <w:rFonts w:hint="eastAsia" w:ascii="仿宋_GB2312" w:hAnsi="仿宋"/>
          <w:sz w:val="32"/>
          <w:szCs w:val="32"/>
          <w:highlight w:val="none"/>
          <w:lang w:val="zh-CN"/>
        </w:rPr>
        <w:t>探索在科学数据共享、知识产权管理和使用等方面建立健全新型开放合作机制。</w:t>
      </w:r>
    </w:p>
    <w:p>
      <w:pPr>
        <w:pStyle w:val="13"/>
        <w:numPr>
          <w:ilvl w:val="0"/>
          <w:numId w:val="1"/>
        </w:numPr>
        <w:snapToGrid w:val="0"/>
        <w:spacing w:line="560" w:lineRule="exact"/>
        <w:ind w:firstLine="640"/>
        <w:rPr>
          <w:rFonts w:ascii="仿宋_GB2312" w:hAnsi="微软雅黑"/>
          <w:color w:val="auto"/>
          <w:sz w:val="22"/>
          <w:szCs w:val="20"/>
          <w:highlight w:val="none"/>
        </w:rPr>
      </w:pPr>
      <w:r>
        <w:rPr>
          <w:rFonts w:hint="eastAsia" w:ascii="仿宋_GB2312" w:hAnsi="仿宋"/>
          <w:color w:val="auto"/>
          <w:sz w:val="32"/>
          <w:szCs w:val="32"/>
          <w:highlight w:val="none"/>
        </w:rPr>
        <w:t>【科技</w:t>
      </w:r>
      <w:r>
        <w:rPr>
          <w:rFonts w:hint="eastAsia" w:ascii="仿宋_GB2312" w:hAnsi="仿宋"/>
          <w:color w:val="auto"/>
          <w:sz w:val="32"/>
          <w:szCs w:val="32"/>
          <w:highlight w:val="none"/>
          <w:lang w:eastAsia="zh-CN"/>
        </w:rPr>
        <w:t>对外交流</w:t>
      </w:r>
      <w:r>
        <w:rPr>
          <w:rFonts w:hint="eastAsia" w:ascii="仿宋_GB2312" w:hAnsi="仿宋"/>
          <w:color w:val="auto"/>
          <w:sz w:val="32"/>
          <w:szCs w:val="32"/>
          <w:highlight w:val="none"/>
        </w:rPr>
        <w:t>】自贸试验区鼓励区内企业、研发机构</w:t>
      </w:r>
      <w:r>
        <w:rPr>
          <w:rFonts w:hint="eastAsia" w:ascii="仿宋_GB2312"/>
          <w:color w:val="auto"/>
          <w:sz w:val="32"/>
          <w:szCs w:val="32"/>
          <w:highlight w:val="none"/>
        </w:rPr>
        <w:t>多维度开展国际交流，</w:t>
      </w:r>
      <w:r>
        <w:rPr>
          <w:rFonts w:hint="eastAsia" w:ascii="仿宋_GB2312"/>
          <w:color w:val="auto"/>
          <w:sz w:val="32"/>
          <w:szCs w:val="32"/>
          <w:highlight w:val="none"/>
          <w:lang w:eastAsia="zh-CN"/>
        </w:rPr>
        <w:t>培育具有国际影响力的高水平学术活动，</w:t>
      </w:r>
      <w:r>
        <w:rPr>
          <w:rFonts w:hint="eastAsia" w:ascii="仿宋_GB2312" w:hAnsi="仿宋"/>
          <w:color w:val="auto"/>
          <w:sz w:val="32"/>
          <w:szCs w:val="32"/>
          <w:highlight w:val="none"/>
        </w:rPr>
        <w:t>推进国家科技项目有序对外开放试点。</w:t>
      </w:r>
      <w:r>
        <w:rPr>
          <w:rFonts w:hint="eastAsia" w:ascii="仿宋_GB2312" w:hAnsi="仿宋"/>
          <w:color w:val="auto"/>
          <w:sz w:val="32"/>
          <w:szCs w:val="32"/>
          <w:highlight w:val="none"/>
          <w:lang w:eastAsia="zh-CN"/>
        </w:rPr>
        <w:t>鼓励大科学装置等科研设施，在信息成果服务、项目主体服务等方面开放共享。</w:t>
      </w:r>
    </w:p>
    <w:p>
      <w:pPr>
        <w:pStyle w:val="13"/>
        <w:numPr>
          <w:ilvl w:val="0"/>
          <w:numId w:val="1"/>
        </w:numPr>
        <w:snapToGrid w:val="0"/>
        <w:spacing w:line="560" w:lineRule="exact"/>
        <w:ind w:firstLine="640"/>
        <w:rPr>
          <w:rFonts w:ascii="仿宋_GB2312" w:hAnsi="仿宋"/>
          <w:color w:val="auto"/>
          <w:sz w:val="32"/>
          <w:szCs w:val="32"/>
          <w:highlight w:val="none"/>
        </w:rPr>
      </w:pPr>
      <w:r>
        <w:rPr>
          <w:rFonts w:hint="eastAsia" w:ascii="仿宋_GB2312" w:hAnsi="仿宋"/>
          <w:color w:val="auto"/>
          <w:sz w:val="32"/>
          <w:szCs w:val="32"/>
          <w:highlight w:val="none"/>
        </w:rPr>
        <w:t>【</w:t>
      </w:r>
      <w:r>
        <w:rPr>
          <w:rFonts w:hint="eastAsia" w:ascii="仿宋_GB2312" w:hAnsi="仿宋"/>
          <w:color w:val="auto"/>
          <w:sz w:val="32"/>
          <w:szCs w:val="32"/>
          <w:highlight w:val="none"/>
          <w:lang w:eastAsia="zh-CN"/>
        </w:rPr>
        <w:t>创新研发合作形式</w:t>
      </w:r>
      <w:r>
        <w:rPr>
          <w:rFonts w:hint="eastAsia" w:ascii="仿宋_GB2312" w:hAnsi="仿宋"/>
          <w:color w:val="auto"/>
          <w:sz w:val="32"/>
          <w:szCs w:val="32"/>
          <w:highlight w:val="none"/>
        </w:rPr>
        <w:t>】</w:t>
      </w:r>
      <w:r>
        <w:rPr>
          <w:rFonts w:hint="eastAsia" w:ascii="仿宋_GB2312" w:hAnsi="仿宋"/>
          <w:color w:val="auto"/>
          <w:sz w:val="32"/>
          <w:szCs w:val="32"/>
          <w:highlight w:val="none"/>
          <w:lang w:eastAsia="zh-CN"/>
        </w:rPr>
        <w:t>自贸试验区推动</w:t>
      </w:r>
      <w:r>
        <w:rPr>
          <w:rFonts w:hint="eastAsia" w:ascii="仿宋_GB2312" w:hAnsi="仿宋"/>
          <w:color w:val="auto"/>
          <w:sz w:val="32"/>
          <w:szCs w:val="32"/>
          <w:highlight w:val="none"/>
        </w:rPr>
        <w:t>科学研究国际</w:t>
      </w:r>
      <w:r>
        <w:rPr>
          <w:rFonts w:hint="eastAsia" w:ascii="仿宋_GB2312" w:hAnsi="仿宋"/>
          <w:color w:val="auto"/>
          <w:sz w:val="32"/>
          <w:szCs w:val="32"/>
          <w:highlight w:val="none"/>
          <w:lang w:eastAsia="zh-CN"/>
        </w:rPr>
        <w:t>合作形式创新。</w:t>
      </w:r>
      <w:r>
        <w:rPr>
          <w:rFonts w:hint="eastAsia" w:ascii="仿宋_GB2312" w:hAnsi="仿宋"/>
          <w:color w:val="auto"/>
          <w:sz w:val="32"/>
          <w:szCs w:val="32"/>
          <w:highlight w:val="none"/>
        </w:rPr>
        <w:t>鼓励国际科技组织在区内注册。鼓励区内外资研发机构独立申报国家科技项目。支持外籍科学家领衔承担政府支持科技项目。允许持永久居留身份证的外籍人才在创办科技型企业方面享受国民待遇。</w:t>
      </w:r>
    </w:p>
    <w:p>
      <w:pPr>
        <w:pStyle w:val="13"/>
        <w:numPr>
          <w:ilvl w:val="0"/>
          <w:numId w:val="1"/>
        </w:numPr>
        <w:snapToGrid w:val="0"/>
        <w:spacing w:line="560" w:lineRule="exact"/>
        <w:ind w:firstLine="640"/>
        <w:rPr>
          <w:rFonts w:ascii="仿宋_GB2312" w:hAnsi="微软雅黑"/>
          <w:color w:val="auto"/>
          <w:sz w:val="22"/>
          <w:highlight w:val="none"/>
        </w:rPr>
      </w:pPr>
      <w:r>
        <w:rPr>
          <w:rFonts w:hint="eastAsia" w:ascii="仿宋_GB2312" w:hAnsi="仿宋"/>
          <w:color w:val="auto"/>
          <w:sz w:val="32"/>
          <w:szCs w:val="32"/>
          <w:highlight w:val="none"/>
        </w:rPr>
        <w:t>【科技成果转化】</w:t>
      </w:r>
      <w:r>
        <w:rPr>
          <w:rFonts w:hint="eastAsia" w:ascii="仿宋_GB2312" w:hAnsi="仿宋"/>
          <w:sz w:val="32"/>
          <w:szCs w:val="32"/>
          <w:highlight w:val="none"/>
        </w:rPr>
        <w:t>自贸试验区鼓励企业、高等学校和科研院所建设科技成果转化平台，完善</w:t>
      </w:r>
      <w:r>
        <w:rPr>
          <w:rFonts w:hint="eastAsia" w:ascii="仿宋_GB2312" w:hAnsi="仿宋"/>
          <w:sz w:val="32"/>
          <w:szCs w:val="32"/>
          <w:highlight w:val="none"/>
          <w:lang w:eastAsia="zh-CN"/>
        </w:rPr>
        <w:t>创业孵化、</w:t>
      </w:r>
      <w:r>
        <w:rPr>
          <w:rFonts w:hint="eastAsia" w:ascii="仿宋_GB2312" w:hAnsi="仿宋"/>
          <w:sz w:val="32"/>
          <w:szCs w:val="32"/>
          <w:highlight w:val="none"/>
        </w:rPr>
        <w:t>供需对接、研发试制、</w:t>
      </w:r>
      <w:r>
        <w:rPr>
          <w:rFonts w:hint="eastAsia" w:ascii="仿宋_GB2312" w:hAnsi="仿宋"/>
          <w:sz w:val="32"/>
          <w:szCs w:val="32"/>
          <w:highlight w:val="none"/>
          <w:lang w:eastAsia="zh-CN"/>
        </w:rPr>
        <w:t>动物实验、</w:t>
      </w:r>
      <w:r>
        <w:rPr>
          <w:rFonts w:hint="eastAsia" w:ascii="仿宋_GB2312" w:hAnsi="仿宋"/>
          <w:sz w:val="32"/>
          <w:szCs w:val="32"/>
          <w:highlight w:val="none"/>
        </w:rPr>
        <w:t>测试检验、中试熟化、产业化开发等配套服务，促进科技成果落地</w:t>
      </w:r>
      <w:r>
        <w:rPr>
          <w:rFonts w:hint="eastAsia" w:ascii="仿宋_GB2312" w:hAnsi="仿宋"/>
          <w:color w:val="auto"/>
          <w:sz w:val="32"/>
          <w:szCs w:val="32"/>
          <w:highlight w:val="none"/>
        </w:rPr>
        <w:t>。</w:t>
      </w:r>
    </w:p>
    <w:p>
      <w:pPr>
        <w:pStyle w:val="15"/>
        <w:numPr>
          <w:ilvl w:val="0"/>
          <w:numId w:val="1"/>
        </w:numPr>
        <w:snapToGrid w:val="0"/>
        <w:spacing w:line="560" w:lineRule="exact"/>
        <w:ind w:left="0" w:firstLine="640"/>
        <w:rPr>
          <w:rFonts w:ascii="仿宋_GB2312" w:hAnsi="微软雅黑"/>
          <w:sz w:val="22"/>
          <w:highlight w:val="none"/>
        </w:rPr>
      </w:pPr>
      <w:r>
        <w:rPr>
          <w:rFonts w:hint="eastAsia" w:ascii="仿宋_GB2312" w:hAnsi="仿宋"/>
          <w:sz w:val="32"/>
          <w:szCs w:val="32"/>
          <w:highlight w:val="none"/>
        </w:rPr>
        <w:t>【知识产权保护】自贸试验区采取以下措施强化知识产权的保护</w:t>
      </w:r>
      <w:r>
        <w:rPr>
          <w:rFonts w:hint="default" w:ascii="仿宋_GB2312" w:hAnsi="仿宋"/>
          <w:sz w:val="32"/>
          <w:szCs w:val="32"/>
          <w:highlight w:val="none"/>
          <w:lang w:val="en-US"/>
        </w:rPr>
        <w:t>和运用</w:t>
      </w:r>
      <w:r>
        <w:rPr>
          <w:rFonts w:hint="eastAsia" w:ascii="仿宋_GB2312" w:hAnsi="仿宋"/>
          <w:sz w:val="32"/>
          <w:szCs w:val="32"/>
          <w:highlight w:val="none"/>
        </w:rPr>
        <w:t>：</w:t>
      </w:r>
    </w:p>
    <w:p>
      <w:pPr>
        <w:snapToGrid w:val="0"/>
        <w:spacing w:line="560" w:lineRule="atLeast"/>
        <w:ind w:firstLine="640" w:firstLineChars="200"/>
        <w:rPr>
          <w:rFonts w:hint="default" w:ascii="仿宋_GB2312" w:hAnsi="仿宋"/>
          <w:b/>
          <w:sz w:val="32"/>
          <w:szCs w:val="32"/>
          <w:highlight w:val="none"/>
        </w:rPr>
      </w:pPr>
      <w:r>
        <w:rPr>
          <w:rFonts w:hint="default" w:ascii="仿宋_GB2312" w:hAnsi="仿宋"/>
          <w:sz w:val="32"/>
          <w:szCs w:val="32"/>
          <w:highlight w:val="none"/>
        </w:rPr>
        <w:t>（</w:t>
      </w:r>
      <w:r>
        <w:rPr>
          <w:rFonts w:hint="default" w:ascii="仿宋_GB2312" w:hAnsi="仿宋"/>
          <w:sz w:val="32"/>
          <w:szCs w:val="32"/>
          <w:highlight w:val="none"/>
          <w:lang w:val="en-US"/>
        </w:rPr>
        <w:t>一</w:t>
      </w:r>
      <w:r>
        <w:rPr>
          <w:rFonts w:hint="default" w:ascii="仿宋_GB2312" w:hAnsi="仿宋"/>
          <w:sz w:val="32"/>
          <w:szCs w:val="32"/>
          <w:highlight w:val="none"/>
        </w:rPr>
        <w:t>）实施</w:t>
      </w:r>
      <w:r>
        <w:rPr>
          <w:rFonts w:hint="default" w:ascii="仿宋_GB2312" w:hAnsi="仿宋"/>
          <w:sz w:val="32"/>
          <w:szCs w:val="32"/>
          <w:highlight w:val="none"/>
          <w:lang w:val="en-US"/>
        </w:rPr>
        <w:t>严格</w:t>
      </w:r>
      <w:r>
        <w:rPr>
          <w:rFonts w:hint="default" w:ascii="仿宋_GB2312" w:hAnsi="仿宋"/>
          <w:sz w:val="32"/>
          <w:szCs w:val="32"/>
          <w:highlight w:val="none"/>
        </w:rPr>
        <w:t>的知识产权保护，平等保护</w:t>
      </w:r>
      <w:r>
        <w:rPr>
          <w:rFonts w:hint="default" w:ascii="仿宋_GB2312" w:hAnsi="仿宋"/>
          <w:sz w:val="32"/>
          <w:szCs w:val="32"/>
          <w:highlight w:val="none"/>
          <w:lang w:val="en-US"/>
        </w:rPr>
        <w:t>各类市场主体知识产权</w:t>
      </w:r>
      <w:r>
        <w:rPr>
          <w:rFonts w:hint="default" w:ascii="仿宋_GB2312" w:hAnsi="仿宋"/>
          <w:sz w:val="32"/>
          <w:szCs w:val="32"/>
          <w:highlight w:val="none"/>
        </w:rPr>
        <w:t>；</w:t>
      </w:r>
    </w:p>
    <w:p>
      <w:pPr>
        <w:snapToGrid w:val="0"/>
        <w:spacing w:line="560" w:lineRule="atLeast"/>
        <w:ind w:firstLine="640" w:firstLineChars="200"/>
        <w:rPr>
          <w:bCs/>
          <w:highlight w:val="none"/>
        </w:rPr>
      </w:pPr>
      <w:r>
        <w:rPr>
          <w:rFonts w:hint="default" w:ascii="仿宋_GB2312" w:hAnsi="仿宋"/>
          <w:b w:val="0"/>
          <w:bCs/>
          <w:sz w:val="32"/>
          <w:szCs w:val="32"/>
          <w:highlight w:val="none"/>
          <w:lang w:val="en-US"/>
        </w:rPr>
        <w:t>（二）指导自贸试验区各类主体建立健全商业秘密保护制度，</w:t>
      </w:r>
      <w:r>
        <w:rPr>
          <w:rFonts w:hint="default" w:ascii="仿宋_GB2312" w:hAnsi="宋体" w:eastAsia="仿宋_GB2312"/>
          <w:bCs/>
          <w:sz w:val="32"/>
          <w:szCs w:val="32"/>
          <w:highlight w:val="none"/>
          <w:lang w:val="en-US" w:eastAsia="zh-CN"/>
        </w:rPr>
        <w:t>探索完善</w:t>
      </w:r>
      <w:r>
        <w:rPr>
          <w:rFonts w:hint="default" w:ascii="仿宋_GB2312" w:hAnsi="宋体" w:eastAsia="仿宋_GB2312"/>
          <w:bCs/>
          <w:sz w:val="32"/>
          <w:szCs w:val="32"/>
          <w:highlight w:val="none"/>
          <w:lang w:eastAsia="zh-CN"/>
        </w:rPr>
        <w:t>移动互联网、</w:t>
      </w:r>
      <w:r>
        <w:rPr>
          <w:rFonts w:hint="default" w:ascii="仿宋_GB2312" w:hAnsi="宋体" w:eastAsia="仿宋_GB2312"/>
          <w:bCs/>
          <w:sz w:val="32"/>
          <w:szCs w:val="32"/>
          <w:highlight w:val="none"/>
        </w:rPr>
        <w:t>大数据</w:t>
      </w:r>
      <w:r>
        <w:rPr>
          <w:rFonts w:hint="default" w:ascii="仿宋_GB2312" w:hAnsi="宋体" w:eastAsia="仿宋_GB2312"/>
          <w:bCs/>
          <w:sz w:val="32"/>
          <w:szCs w:val="32"/>
          <w:highlight w:val="none"/>
          <w:lang w:eastAsia="zh-CN"/>
        </w:rPr>
        <w:t>、</w:t>
      </w:r>
      <w:r>
        <w:rPr>
          <w:rFonts w:hint="default" w:ascii="仿宋_GB2312" w:hAnsi="宋体" w:eastAsia="仿宋_GB2312"/>
          <w:bCs/>
          <w:sz w:val="32"/>
          <w:szCs w:val="32"/>
          <w:highlight w:val="none"/>
          <w:lang w:val="en-US" w:eastAsia="zh-CN"/>
        </w:rPr>
        <w:t>开源、算法、商业方法、</w:t>
      </w:r>
      <w:r>
        <w:rPr>
          <w:rFonts w:hint="default" w:ascii="仿宋_GB2312" w:hAnsi="宋体" w:eastAsia="仿宋_GB2312"/>
          <w:bCs/>
          <w:sz w:val="32"/>
          <w:szCs w:val="32"/>
          <w:highlight w:val="none"/>
        </w:rPr>
        <w:t>人工智能等知识产权</w:t>
      </w:r>
      <w:r>
        <w:rPr>
          <w:rFonts w:hint="default" w:ascii="仿宋_GB2312" w:hAnsi="宋体" w:eastAsia="仿宋_GB2312"/>
          <w:bCs/>
          <w:sz w:val="32"/>
          <w:szCs w:val="32"/>
          <w:highlight w:val="none"/>
          <w:lang w:eastAsia="zh-CN"/>
        </w:rPr>
        <w:t>管理和保护措施</w:t>
      </w:r>
      <w:r>
        <w:rPr>
          <w:rFonts w:hint="default" w:ascii="仿宋_GB2312" w:hAnsi="宋体" w:eastAsia="仿宋_GB2312"/>
          <w:bCs/>
          <w:sz w:val="32"/>
          <w:szCs w:val="32"/>
          <w:highlight w:val="none"/>
          <w:lang w:val="en-US" w:eastAsia="zh-CN"/>
        </w:rPr>
        <w:t>；</w:t>
      </w:r>
    </w:p>
    <w:p>
      <w:pPr>
        <w:snapToGrid w:val="0"/>
        <w:spacing w:line="560" w:lineRule="atLeast"/>
        <w:ind w:firstLine="640" w:firstLineChars="200"/>
        <w:rPr>
          <w:rFonts w:hint="default" w:ascii="仿宋_GB2312" w:hAnsi="仿宋"/>
          <w:sz w:val="32"/>
          <w:szCs w:val="32"/>
          <w:highlight w:val="none"/>
          <w:lang w:val="en-US"/>
        </w:rPr>
      </w:pPr>
      <w:r>
        <w:rPr>
          <w:rFonts w:hint="default" w:ascii="仿宋_GB2312" w:hAnsi="仿宋"/>
          <w:sz w:val="32"/>
          <w:szCs w:val="32"/>
          <w:highlight w:val="none"/>
          <w:lang w:val="en-US"/>
        </w:rPr>
        <w:t>（三）支持在自贸试验区设立知识产权保护分中心、知识产权公共服务工作站；</w:t>
      </w:r>
    </w:p>
    <w:p>
      <w:pPr>
        <w:snapToGrid w:val="0"/>
        <w:spacing w:line="560" w:lineRule="atLeast"/>
        <w:ind w:firstLine="640" w:firstLineChars="200"/>
      </w:pPr>
      <w:r>
        <w:rPr>
          <w:rFonts w:hint="default" w:ascii="仿宋_GB2312" w:hAnsi="仿宋"/>
          <w:sz w:val="32"/>
          <w:szCs w:val="32"/>
          <w:highlight w:val="none"/>
        </w:rPr>
        <w:t>（</w:t>
      </w:r>
      <w:r>
        <w:rPr>
          <w:rFonts w:hint="default" w:ascii="仿宋_GB2312" w:hAnsi="仿宋"/>
          <w:sz w:val="32"/>
          <w:szCs w:val="32"/>
          <w:highlight w:val="none"/>
          <w:lang w:val="en-US"/>
        </w:rPr>
        <w:t>四</w:t>
      </w:r>
      <w:r>
        <w:rPr>
          <w:rFonts w:hint="default" w:ascii="仿宋_GB2312" w:hAnsi="仿宋"/>
          <w:sz w:val="32"/>
          <w:szCs w:val="32"/>
          <w:highlight w:val="none"/>
        </w:rPr>
        <w:t>）在自贸试验区设立知识产权巡回审判点，强化知识产权审判职能，加强知识产权审判机制创新，加大对知识产权侵权行为的惩治力度</w:t>
      </w:r>
      <w:r>
        <w:rPr>
          <w:rFonts w:hint="default" w:ascii="仿宋_GB2312" w:hAnsi="仿宋"/>
          <w:sz w:val="32"/>
          <w:szCs w:val="32"/>
          <w:highlight w:val="none"/>
          <w:lang w:val="en-US"/>
        </w:rPr>
        <w:t>，依法</w:t>
      </w:r>
      <w:r>
        <w:rPr>
          <w:rFonts w:hint="default" w:ascii="仿宋_GB2312" w:hAnsi="仿宋"/>
          <w:sz w:val="32"/>
          <w:szCs w:val="32"/>
          <w:highlight w:val="none"/>
        </w:rPr>
        <w:t>审理涉外知识产权纠纷</w:t>
      </w:r>
      <w:r>
        <w:rPr>
          <w:rFonts w:hint="default" w:ascii="仿宋_GB2312" w:hAnsi="仿宋"/>
          <w:sz w:val="32"/>
          <w:szCs w:val="32"/>
          <w:highlight w:val="none"/>
          <w:lang w:eastAsia="zh-CN"/>
        </w:rPr>
        <w:t>；</w:t>
      </w:r>
    </w:p>
    <w:p>
      <w:pPr>
        <w:snapToGrid w:val="0"/>
        <w:spacing w:line="560" w:lineRule="atLeast"/>
        <w:ind w:firstLine="640" w:firstLineChars="200"/>
      </w:pPr>
      <w:r>
        <w:rPr>
          <w:rFonts w:hint="default" w:ascii="仿宋_GB2312" w:hAnsi="仿宋"/>
          <w:sz w:val="32"/>
          <w:szCs w:val="32"/>
          <w:highlight w:val="none"/>
        </w:rPr>
        <w:t>（</w:t>
      </w:r>
      <w:r>
        <w:rPr>
          <w:rFonts w:hint="default" w:ascii="仿宋_GB2312" w:hAnsi="仿宋"/>
          <w:sz w:val="32"/>
          <w:szCs w:val="32"/>
          <w:highlight w:val="none"/>
          <w:lang w:val="en-US"/>
        </w:rPr>
        <w:t>五</w:t>
      </w:r>
      <w:r>
        <w:rPr>
          <w:rFonts w:hint="default" w:ascii="仿宋_GB2312" w:hAnsi="仿宋"/>
          <w:sz w:val="32"/>
          <w:szCs w:val="32"/>
          <w:highlight w:val="none"/>
        </w:rPr>
        <w:t>）鼓励自贸试验区</w:t>
      </w:r>
      <w:r>
        <w:rPr>
          <w:rFonts w:hint="default" w:ascii="仿宋_GB2312" w:hAnsi="仿宋"/>
          <w:sz w:val="32"/>
          <w:szCs w:val="32"/>
          <w:highlight w:val="none"/>
          <w:lang w:val="en-US"/>
        </w:rPr>
        <w:t>各类市场主体</w:t>
      </w:r>
      <w:r>
        <w:rPr>
          <w:rFonts w:hint="default" w:ascii="仿宋_GB2312" w:hAnsi="仿宋"/>
          <w:sz w:val="32"/>
          <w:szCs w:val="32"/>
          <w:highlight w:val="none"/>
        </w:rPr>
        <w:t>健全海外知识产权维权体系，完善</w:t>
      </w:r>
      <w:r>
        <w:rPr>
          <w:rFonts w:hint="default" w:ascii="仿宋_GB2312" w:hAnsi="仿宋"/>
          <w:sz w:val="32"/>
          <w:szCs w:val="32"/>
          <w:highlight w:val="none"/>
          <w:lang w:val="en-US"/>
        </w:rPr>
        <w:t>重点领域</w:t>
      </w:r>
      <w:r>
        <w:rPr>
          <w:rFonts w:hint="default" w:ascii="仿宋_GB2312" w:hAnsi="仿宋"/>
          <w:sz w:val="32"/>
          <w:szCs w:val="32"/>
          <w:highlight w:val="none"/>
        </w:rPr>
        <w:t>海外知识产权风险预警机制；</w:t>
      </w:r>
    </w:p>
    <w:p>
      <w:pPr>
        <w:snapToGrid w:val="0"/>
        <w:spacing w:line="560" w:lineRule="exact"/>
        <w:ind w:firstLine="640" w:firstLineChars="200"/>
        <w:rPr>
          <w:rFonts w:ascii="仿宋_GB2312" w:hAnsi="微软雅黑"/>
          <w:sz w:val="22"/>
          <w:highlight w:val="none"/>
        </w:rPr>
      </w:pPr>
      <w:r>
        <w:rPr>
          <w:rFonts w:hint="eastAsia" w:ascii="仿宋_GB2312" w:hAnsi="仿宋"/>
          <w:sz w:val="32"/>
          <w:szCs w:val="32"/>
          <w:highlight w:val="none"/>
        </w:rPr>
        <w:t>（</w:t>
      </w:r>
      <w:r>
        <w:rPr>
          <w:rFonts w:hint="default" w:ascii="仿宋_GB2312" w:hAnsi="仿宋"/>
          <w:sz w:val="32"/>
          <w:szCs w:val="32"/>
          <w:highlight w:val="none"/>
          <w:lang w:val="en-US"/>
        </w:rPr>
        <w:t>六</w:t>
      </w:r>
      <w:r>
        <w:rPr>
          <w:rFonts w:hint="eastAsia" w:ascii="仿宋_GB2312" w:hAnsi="仿宋"/>
          <w:sz w:val="32"/>
          <w:szCs w:val="32"/>
          <w:highlight w:val="none"/>
        </w:rPr>
        <w:t>）推进知识产权交易中心建设，完善</w:t>
      </w:r>
      <w:r>
        <w:rPr>
          <w:rFonts w:hint="default" w:ascii="仿宋_GB2312" w:hAnsi="仿宋"/>
          <w:sz w:val="32"/>
          <w:szCs w:val="32"/>
          <w:highlight w:val="none"/>
          <w:lang w:val="en-US"/>
        </w:rPr>
        <w:t>符合知识产权特点的</w:t>
      </w:r>
      <w:r>
        <w:rPr>
          <w:rFonts w:hint="eastAsia" w:ascii="仿宋_GB2312" w:hAnsi="仿宋"/>
          <w:sz w:val="32"/>
          <w:szCs w:val="32"/>
          <w:highlight w:val="none"/>
        </w:rPr>
        <w:t>交易规则，健全服务体系。鼓励知识产权评估机构进驻交易中心，探索建立公允的知识产权</w:t>
      </w:r>
      <w:r>
        <w:rPr>
          <w:rFonts w:hint="default" w:ascii="仿宋_GB2312" w:hAnsi="仿宋"/>
          <w:sz w:val="32"/>
          <w:szCs w:val="32"/>
          <w:highlight w:val="none"/>
          <w:lang w:val="en-US"/>
        </w:rPr>
        <w:t>价值</w:t>
      </w:r>
      <w:r>
        <w:rPr>
          <w:rFonts w:hint="eastAsia" w:ascii="仿宋_GB2312" w:hAnsi="仿宋"/>
          <w:sz w:val="32"/>
          <w:szCs w:val="32"/>
          <w:highlight w:val="none"/>
        </w:rPr>
        <w:t>评估机制；</w:t>
      </w:r>
      <w:r>
        <w:rPr>
          <w:rFonts w:hint="eastAsia" w:ascii="仿宋_GB2312" w:hAnsi="仿宋"/>
          <w:sz w:val="32"/>
          <w:szCs w:val="32"/>
          <w:highlight w:val="none"/>
          <w:lang w:eastAsia="zh-CN"/>
        </w:rPr>
        <w:t>鼓励</w:t>
      </w:r>
      <w:r>
        <w:rPr>
          <w:rFonts w:hint="eastAsia" w:ascii="仿宋_GB2312" w:hAnsi="仿宋"/>
          <w:sz w:val="32"/>
          <w:szCs w:val="32"/>
          <w:highlight w:val="none"/>
        </w:rPr>
        <w:t>知识产权服务机构</w:t>
      </w:r>
      <w:r>
        <w:rPr>
          <w:rFonts w:hint="eastAsia" w:ascii="仿宋_GB2312" w:hAnsi="仿宋"/>
          <w:sz w:val="32"/>
          <w:szCs w:val="32"/>
          <w:highlight w:val="none"/>
          <w:lang w:eastAsia="zh-CN"/>
        </w:rPr>
        <w:t>在交易中心</w:t>
      </w:r>
      <w:r>
        <w:rPr>
          <w:rFonts w:hint="eastAsia" w:ascii="仿宋_GB2312" w:hAnsi="仿宋"/>
          <w:sz w:val="32"/>
          <w:szCs w:val="32"/>
          <w:highlight w:val="none"/>
        </w:rPr>
        <w:t>提供专业服务</w:t>
      </w:r>
      <w:r>
        <w:rPr>
          <w:rFonts w:hint="eastAsia" w:ascii="仿宋_GB2312" w:hAnsi="仿宋"/>
          <w:sz w:val="32"/>
          <w:szCs w:val="32"/>
          <w:highlight w:val="none"/>
          <w:lang w:eastAsia="zh-CN"/>
        </w:rPr>
        <w:t>；</w:t>
      </w:r>
    </w:p>
    <w:p>
      <w:pPr>
        <w:snapToGrid w:val="0"/>
        <w:spacing w:line="560" w:lineRule="atLeast"/>
        <w:ind w:firstLine="640" w:firstLineChars="200"/>
      </w:pPr>
      <w:r>
        <w:rPr>
          <w:rFonts w:hint="default" w:ascii="仿宋_GB2312" w:hAnsi="仿宋"/>
          <w:sz w:val="32"/>
          <w:szCs w:val="32"/>
          <w:highlight w:val="none"/>
        </w:rPr>
        <w:t>（</w:t>
      </w:r>
      <w:r>
        <w:rPr>
          <w:rFonts w:hint="default" w:ascii="仿宋_GB2312" w:hAnsi="仿宋"/>
          <w:sz w:val="32"/>
          <w:szCs w:val="32"/>
          <w:highlight w:val="none"/>
          <w:lang w:val="en-US"/>
        </w:rPr>
        <w:t>七</w:t>
      </w:r>
      <w:r>
        <w:rPr>
          <w:rFonts w:hint="default" w:ascii="仿宋_GB2312" w:hAnsi="仿宋"/>
          <w:sz w:val="32"/>
          <w:szCs w:val="32"/>
          <w:highlight w:val="none"/>
        </w:rPr>
        <w:t>）外国专利代理机构</w:t>
      </w:r>
      <w:r>
        <w:rPr>
          <w:rFonts w:hint="default" w:ascii="仿宋_GB2312" w:hAnsi="仿宋"/>
          <w:sz w:val="32"/>
          <w:szCs w:val="32"/>
          <w:highlight w:val="none"/>
          <w:lang w:val="en-US"/>
        </w:rPr>
        <w:t>等境外知识产权服务机构</w:t>
      </w:r>
      <w:r>
        <w:rPr>
          <w:rFonts w:hint="default" w:ascii="仿宋_GB2312" w:hAnsi="仿宋"/>
          <w:sz w:val="32"/>
          <w:szCs w:val="32"/>
          <w:highlight w:val="none"/>
        </w:rPr>
        <w:t>可在区内设立常驻代表机构，提供</w:t>
      </w:r>
      <w:r>
        <w:rPr>
          <w:rFonts w:hint="default" w:ascii="仿宋_GB2312" w:hAnsi="仿宋"/>
          <w:sz w:val="32"/>
          <w:szCs w:val="32"/>
          <w:highlight w:val="none"/>
          <w:lang w:val="en-US"/>
        </w:rPr>
        <w:t>知识产权</w:t>
      </w:r>
      <w:r>
        <w:rPr>
          <w:rFonts w:hint="default" w:ascii="仿宋_GB2312" w:hAnsi="仿宋"/>
          <w:sz w:val="32"/>
          <w:szCs w:val="32"/>
          <w:highlight w:val="none"/>
        </w:rPr>
        <w:t>事务咨询、办理已获准的专利代理业务等</w:t>
      </w:r>
      <w:r>
        <w:rPr>
          <w:rFonts w:hint="default" w:ascii="仿宋_GB2312" w:hAnsi="仿宋"/>
          <w:sz w:val="32"/>
          <w:szCs w:val="32"/>
          <w:highlight w:val="none"/>
          <w:lang w:val="en-US"/>
        </w:rPr>
        <w:t>专业</w:t>
      </w:r>
      <w:r>
        <w:rPr>
          <w:rFonts w:hint="default" w:ascii="仿宋_GB2312" w:hAnsi="仿宋"/>
          <w:sz w:val="32"/>
          <w:szCs w:val="32"/>
          <w:highlight w:val="none"/>
        </w:rPr>
        <w:t>服务；</w:t>
      </w:r>
    </w:p>
    <w:p>
      <w:pPr>
        <w:snapToGrid w:val="0"/>
        <w:spacing w:line="560" w:lineRule="exact"/>
        <w:ind w:firstLine="640" w:firstLineChars="200"/>
        <w:jc w:val="left"/>
        <w:rPr>
          <w:rFonts w:ascii="仿宋_GB2312" w:hAnsi="微软雅黑"/>
          <w:sz w:val="22"/>
          <w:highlight w:val="none"/>
        </w:rPr>
      </w:pPr>
      <w:r>
        <w:rPr>
          <w:rFonts w:hint="eastAsia" w:ascii="仿宋_GB2312" w:hAnsi="仿宋"/>
          <w:sz w:val="32"/>
          <w:szCs w:val="32"/>
          <w:highlight w:val="none"/>
        </w:rPr>
        <w:t>（</w:t>
      </w:r>
      <w:r>
        <w:rPr>
          <w:rFonts w:hint="default" w:ascii="仿宋_GB2312" w:hAnsi="仿宋"/>
          <w:sz w:val="32"/>
          <w:szCs w:val="32"/>
          <w:highlight w:val="none"/>
          <w:lang w:val="en-US"/>
        </w:rPr>
        <w:t>八</w:t>
      </w:r>
      <w:r>
        <w:rPr>
          <w:rFonts w:hint="eastAsia" w:ascii="仿宋_GB2312" w:hAnsi="仿宋"/>
          <w:sz w:val="32"/>
          <w:szCs w:val="32"/>
          <w:highlight w:val="none"/>
        </w:rPr>
        <w:t>）鼓励</w:t>
      </w:r>
      <w:r>
        <w:rPr>
          <w:rFonts w:hint="default" w:ascii="仿宋_GB2312" w:hAnsi="仿宋"/>
          <w:sz w:val="32"/>
          <w:szCs w:val="32"/>
          <w:highlight w:val="none"/>
          <w:lang w:val="en-US"/>
        </w:rPr>
        <w:t>自贸试验区内金融机构创新知识产权金融服务机制，扩大知识产权质押融资规模，</w:t>
      </w:r>
      <w:r>
        <w:rPr>
          <w:rFonts w:hint="eastAsia" w:ascii="仿宋_GB2312" w:hAnsi="仿宋"/>
          <w:sz w:val="32"/>
          <w:szCs w:val="32"/>
          <w:highlight w:val="none"/>
        </w:rPr>
        <w:t>依法开展知识产权证券化</w:t>
      </w:r>
      <w:r>
        <w:rPr>
          <w:rFonts w:hint="default" w:ascii="仿宋_GB2312" w:hAnsi="仿宋"/>
          <w:sz w:val="32"/>
          <w:szCs w:val="32"/>
          <w:highlight w:val="none"/>
          <w:lang w:val="en-US"/>
        </w:rPr>
        <w:t>、融资租赁</w:t>
      </w:r>
      <w:r>
        <w:rPr>
          <w:rFonts w:hint="eastAsia" w:ascii="仿宋_GB2312" w:hAnsi="仿宋"/>
          <w:sz w:val="32"/>
          <w:szCs w:val="32"/>
          <w:highlight w:val="none"/>
        </w:rPr>
        <w:t>业务</w:t>
      </w:r>
      <w:r>
        <w:rPr>
          <w:rFonts w:hint="default" w:ascii="仿宋_GB2312" w:hAnsi="仿宋"/>
          <w:sz w:val="32"/>
          <w:szCs w:val="32"/>
          <w:highlight w:val="none"/>
          <w:lang w:val="en-US"/>
        </w:rPr>
        <w:t>，</w:t>
      </w:r>
      <w:r>
        <w:rPr>
          <w:rFonts w:hint="default" w:ascii="仿宋_GB2312" w:hAnsi="仿宋"/>
          <w:sz w:val="32"/>
          <w:szCs w:val="32"/>
          <w:highlight w:val="none"/>
        </w:rPr>
        <w:t>探索</w:t>
      </w:r>
      <w:r>
        <w:rPr>
          <w:rFonts w:hint="default" w:ascii="仿宋_GB2312" w:hAnsi="仿宋"/>
          <w:sz w:val="32"/>
          <w:szCs w:val="32"/>
          <w:highlight w:val="none"/>
          <w:lang w:eastAsia="zh-CN"/>
        </w:rPr>
        <w:t>推进</w:t>
      </w:r>
      <w:r>
        <w:rPr>
          <w:rFonts w:hint="default" w:ascii="仿宋_GB2312" w:hAnsi="仿宋"/>
          <w:sz w:val="32"/>
          <w:szCs w:val="32"/>
          <w:highlight w:val="none"/>
        </w:rPr>
        <w:t>知识产权保险业务</w:t>
      </w:r>
      <w:r>
        <w:rPr>
          <w:rFonts w:hint="default" w:ascii="仿宋_GB2312" w:hAnsi="仿宋"/>
          <w:sz w:val="32"/>
          <w:szCs w:val="32"/>
          <w:highlight w:val="none"/>
          <w:lang w:val="en-US"/>
        </w:rPr>
        <w:t>。</w:t>
      </w:r>
    </w:p>
    <w:p>
      <w:pPr>
        <w:pStyle w:val="13"/>
        <w:snapToGrid w:val="0"/>
        <w:spacing w:line="560" w:lineRule="exact"/>
        <w:ind w:firstLineChars="0"/>
        <w:rPr>
          <w:rFonts w:ascii="仿宋_GB2312" w:hAnsi="仿宋"/>
          <w:color w:val="auto"/>
          <w:sz w:val="32"/>
          <w:szCs w:val="32"/>
          <w:highlight w:val="none"/>
        </w:rPr>
      </w:pPr>
      <w:bookmarkStart w:id="7" w:name="_Toc79312588"/>
    </w:p>
    <w:p>
      <w:pPr>
        <w:pStyle w:val="2"/>
        <w:spacing w:line="560" w:lineRule="exact"/>
        <w:rPr>
          <w:rFonts w:hAnsi="微软雅黑"/>
          <w:color w:val="auto"/>
          <w:highlight w:val="none"/>
        </w:rPr>
      </w:pPr>
      <w:r>
        <w:rPr>
          <w:rFonts w:hint="eastAsia"/>
          <w:color w:val="auto"/>
          <w:highlight w:val="none"/>
        </w:rPr>
        <w:t>第五章 数字经济</w:t>
      </w:r>
      <w:bookmarkEnd w:id="7"/>
    </w:p>
    <w:p>
      <w:pPr>
        <w:pStyle w:val="13"/>
        <w:numPr>
          <w:ilvl w:val="0"/>
          <w:numId w:val="1"/>
        </w:numPr>
        <w:snapToGrid w:val="0"/>
        <w:spacing w:line="560" w:lineRule="exact"/>
        <w:ind w:firstLine="640"/>
        <w:rPr>
          <w:rFonts w:ascii="仿宋_GB2312" w:hAnsi="仿宋"/>
          <w:color w:val="auto"/>
          <w:sz w:val="32"/>
          <w:szCs w:val="32"/>
          <w:highlight w:val="none"/>
        </w:rPr>
      </w:pPr>
      <w:r>
        <w:rPr>
          <w:rFonts w:hint="eastAsia" w:ascii="仿宋_GB2312" w:hAnsi="仿宋"/>
          <w:color w:val="auto"/>
          <w:sz w:val="32"/>
          <w:szCs w:val="32"/>
          <w:highlight w:val="none"/>
        </w:rPr>
        <w:t>【数字经济特色化发展】自贸试验区鼓励发展数字经济，完善区内数字基础设施建设，建立健全数字经济发展规则，构建数字经济服务体系，打造数字经济试验区。</w:t>
      </w:r>
    </w:p>
    <w:p>
      <w:pPr>
        <w:pStyle w:val="13"/>
        <w:numPr>
          <w:ilvl w:val="0"/>
          <w:numId w:val="1"/>
        </w:numPr>
        <w:snapToGrid w:val="0"/>
        <w:spacing w:line="560" w:lineRule="exact"/>
        <w:ind w:firstLine="640"/>
        <w:rPr>
          <w:rFonts w:ascii="仿宋_GB2312" w:hAnsi="微软雅黑"/>
          <w:color w:val="auto"/>
          <w:sz w:val="22"/>
          <w:highlight w:val="none"/>
        </w:rPr>
      </w:pPr>
      <w:r>
        <w:rPr>
          <w:rFonts w:hint="eastAsia" w:ascii="仿宋_GB2312" w:hAnsi="仿宋"/>
          <w:color w:val="auto"/>
          <w:sz w:val="32"/>
          <w:szCs w:val="32"/>
          <w:highlight w:val="none"/>
        </w:rPr>
        <w:t>【数字基础设施建设】自贸试验区构建安全便利的国际互联网数据专用通道，支持国际大数据交易所、数字版权相关交易平台等数字基础设施建设。</w:t>
      </w:r>
    </w:p>
    <w:p>
      <w:pPr>
        <w:pStyle w:val="13"/>
        <w:numPr>
          <w:ilvl w:val="0"/>
          <w:numId w:val="1"/>
        </w:numPr>
        <w:snapToGrid w:val="0"/>
        <w:spacing w:line="560" w:lineRule="exact"/>
        <w:ind w:firstLine="640"/>
        <w:rPr>
          <w:rFonts w:ascii="仿宋_GB2312" w:hAnsi="微软雅黑"/>
          <w:color w:val="auto"/>
          <w:sz w:val="22"/>
          <w:highlight w:val="none"/>
        </w:rPr>
      </w:pPr>
      <w:r>
        <w:rPr>
          <w:rFonts w:hint="eastAsia" w:ascii="仿宋_GB2312" w:hAnsi="仿宋"/>
          <w:color w:val="auto"/>
          <w:sz w:val="32"/>
          <w:szCs w:val="32"/>
          <w:highlight w:val="none"/>
        </w:rPr>
        <w:t>【数据跨境流动规则】自贸试验区探索建立符合实际的数据跨境流动规则，在特定监管机制下，分级分类分阶段推动数据跨境安全有序流动。</w:t>
      </w:r>
    </w:p>
    <w:p>
      <w:pPr>
        <w:pStyle w:val="13"/>
        <w:numPr>
          <w:ilvl w:val="0"/>
          <w:numId w:val="1"/>
        </w:numPr>
        <w:snapToGrid w:val="0"/>
        <w:spacing w:line="560" w:lineRule="exact"/>
        <w:ind w:firstLine="640"/>
        <w:rPr>
          <w:rFonts w:ascii="仿宋_GB2312" w:hAnsi="微软雅黑"/>
          <w:color w:val="auto"/>
          <w:sz w:val="22"/>
          <w:highlight w:val="none"/>
        </w:rPr>
      </w:pPr>
      <w:r>
        <w:rPr>
          <w:rFonts w:hint="eastAsia" w:ascii="仿宋_GB2312" w:hAnsi="仿宋"/>
          <w:color w:val="auto"/>
          <w:sz w:val="32"/>
          <w:szCs w:val="32"/>
          <w:highlight w:val="none"/>
        </w:rPr>
        <w:t>【数字交易规则】自贸试验区建立健全数字交易规则，探索数据确权、数据资产、数据服务等交易标准及数据交易流通的定价、结算、质量认证等服务体系。</w:t>
      </w:r>
    </w:p>
    <w:p>
      <w:pPr>
        <w:pStyle w:val="13"/>
        <w:numPr>
          <w:ilvl w:val="0"/>
          <w:numId w:val="1"/>
        </w:numPr>
        <w:snapToGrid w:val="0"/>
        <w:spacing w:line="560" w:lineRule="exact"/>
        <w:ind w:firstLine="640"/>
        <w:rPr>
          <w:rFonts w:ascii="仿宋_GB2312" w:hAnsi="微软雅黑"/>
          <w:color w:val="auto"/>
          <w:sz w:val="22"/>
          <w:highlight w:val="none"/>
        </w:rPr>
      </w:pPr>
      <w:r>
        <w:rPr>
          <w:rFonts w:hint="eastAsia" w:ascii="仿宋_GB2312" w:hAnsi="仿宋"/>
          <w:color w:val="auto"/>
          <w:sz w:val="32"/>
          <w:szCs w:val="32"/>
          <w:highlight w:val="none"/>
        </w:rPr>
        <w:t>【数据保护认证机制】自贸试验区探索制定信息技术安全、数据权益保护等重点领域规则，</w:t>
      </w:r>
      <w:bookmarkStart w:id="8" w:name="_Hlk80562121"/>
      <w:r>
        <w:rPr>
          <w:rFonts w:hint="eastAsia" w:ascii="仿宋_GB2312" w:hAnsi="仿宋"/>
          <w:color w:val="auto"/>
          <w:sz w:val="32"/>
          <w:szCs w:val="32"/>
          <w:highlight w:val="none"/>
        </w:rPr>
        <w:t>加强跨境数据保护规制合作</w:t>
      </w:r>
      <w:bookmarkEnd w:id="8"/>
      <w:r>
        <w:rPr>
          <w:rFonts w:hint="eastAsia" w:ascii="仿宋_GB2312" w:hAnsi="仿宋"/>
          <w:color w:val="auto"/>
          <w:sz w:val="32"/>
          <w:szCs w:val="32"/>
          <w:highlight w:val="none"/>
        </w:rPr>
        <w:t>。探索建立针对企业数据保护能力的第三方认证机制，鼓励自贸试验区企业开展数据保护能力评估测试。</w:t>
      </w:r>
    </w:p>
    <w:p>
      <w:pPr>
        <w:pStyle w:val="13"/>
        <w:numPr>
          <w:ilvl w:val="0"/>
          <w:numId w:val="1"/>
        </w:numPr>
        <w:snapToGrid w:val="0"/>
        <w:spacing w:line="560" w:lineRule="exact"/>
        <w:ind w:firstLine="640"/>
        <w:rPr>
          <w:rFonts w:ascii="仿宋_GB2312" w:hAnsi="微软雅黑"/>
          <w:color w:val="auto"/>
          <w:sz w:val="22"/>
          <w:highlight w:val="none"/>
        </w:rPr>
      </w:pPr>
      <w:r>
        <w:rPr>
          <w:rFonts w:hint="eastAsia" w:ascii="仿宋_GB2312" w:hAnsi="仿宋"/>
          <w:color w:val="auto"/>
          <w:sz w:val="32"/>
          <w:szCs w:val="32"/>
          <w:highlight w:val="none"/>
        </w:rPr>
        <w:t>【数字贸易】</w:t>
      </w:r>
      <w:r>
        <w:rPr>
          <w:rFonts w:hint="eastAsia" w:ascii="仿宋_GB2312" w:hAnsi="仿宋"/>
          <w:color w:val="auto"/>
          <w:sz w:val="32"/>
          <w:szCs w:val="32"/>
          <w:highlight w:val="none"/>
          <w:lang w:eastAsia="zh-CN"/>
        </w:rPr>
        <w:t>本市</w:t>
      </w:r>
      <w:r>
        <w:rPr>
          <w:rFonts w:hint="eastAsia" w:ascii="仿宋_GB2312" w:hAnsi="仿宋"/>
          <w:color w:val="auto"/>
          <w:sz w:val="32"/>
          <w:szCs w:val="32"/>
          <w:highlight w:val="none"/>
        </w:rPr>
        <w:t>支持自贸试验区发展数字内容、数字服务贸易、信息技术服务等领域，建设数字贸易服务平台，推动数字贸易交付、结算便利化。</w:t>
      </w:r>
      <w:bookmarkStart w:id="9" w:name="_Hlk80562192"/>
      <w:r>
        <w:rPr>
          <w:rFonts w:hint="eastAsia" w:ascii="仿宋_GB2312" w:hAnsi="仿宋"/>
          <w:color w:val="auto"/>
          <w:sz w:val="32"/>
          <w:szCs w:val="32"/>
          <w:highlight w:val="none"/>
        </w:rPr>
        <w:t>探索建立数字贸易统计制度</w:t>
      </w:r>
      <w:bookmarkEnd w:id="9"/>
      <w:r>
        <w:rPr>
          <w:rFonts w:hint="eastAsia" w:ascii="仿宋_GB2312" w:hAnsi="仿宋"/>
          <w:color w:val="auto"/>
          <w:sz w:val="32"/>
          <w:szCs w:val="32"/>
          <w:highlight w:val="none"/>
        </w:rPr>
        <w:t>。</w:t>
      </w:r>
    </w:p>
    <w:p>
      <w:pPr>
        <w:pStyle w:val="13"/>
        <w:numPr>
          <w:ilvl w:val="0"/>
          <w:numId w:val="1"/>
        </w:numPr>
        <w:snapToGrid w:val="0"/>
        <w:spacing w:line="560" w:lineRule="exact"/>
        <w:ind w:firstLine="640"/>
        <w:rPr>
          <w:rFonts w:ascii="仿宋_GB2312" w:hAnsi="仿宋"/>
          <w:color w:val="auto"/>
          <w:sz w:val="32"/>
          <w:szCs w:val="32"/>
          <w:highlight w:val="none"/>
        </w:rPr>
      </w:pPr>
      <w:r>
        <w:rPr>
          <w:rFonts w:hint="eastAsia" w:ascii="仿宋_GB2312" w:hAnsi="仿宋"/>
          <w:color w:val="auto"/>
          <w:sz w:val="32"/>
          <w:szCs w:val="32"/>
          <w:highlight w:val="none"/>
        </w:rPr>
        <w:t>【数字贸易港】</w:t>
      </w:r>
      <w:bookmarkStart w:id="10" w:name="_Hlk80562357"/>
      <w:r>
        <w:rPr>
          <w:rFonts w:hint="eastAsia" w:ascii="仿宋_GB2312" w:hAnsi="仿宋"/>
          <w:color w:val="auto"/>
          <w:sz w:val="32"/>
          <w:szCs w:val="32"/>
          <w:highlight w:val="none"/>
          <w:lang w:eastAsia="zh-CN"/>
        </w:rPr>
        <w:t>自贸试验区鼓励</w:t>
      </w:r>
      <w:r>
        <w:rPr>
          <w:rFonts w:hint="eastAsia" w:ascii="仿宋_GB2312" w:hAnsi="仿宋"/>
          <w:color w:val="auto"/>
          <w:sz w:val="32"/>
          <w:szCs w:val="32"/>
          <w:highlight w:val="none"/>
        </w:rPr>
        <w:t>建设国际信息产业和数字贸易港，</w:t>
      </w:r>
      <w:bookmarkEnd w:id="10"/>
      <w:bookmarkStart w:id="11" w:name="_Hlk80562370"/>
      <w:r>
        <w:rPr>
          <w:rFonts w:hint="eastAsia" w:ascii="仿宋_GB2312" w:hAnsi="仿宋"/>
          <w:color w:val="auto"/>
          <w:sz w:val="32"/>
          <w:szCs w:val="32"/>
          <w:highlight w:val="none"/>
        </w:rPr>
        <w:t>探索数字领域的国际合作与国际规则制定</w:t>
      </w:r>
      <w:bookmarkEnd w:id="11"/>
      <w:r>
        <w:rPr>
          <w:rFonts w:hint="eastAsia" w:ascii="仿宋_GB2312" w:hAnsi="仿宋"/>
          <w:color w:val="auto"/>
          <w:sz w:val="32"/>
          <w:szCs w:val="32"/>
          <w:highlight w:val="none"/>
        </w:rPr>
        <w:t>，争取在数据跨境传输、数字产品安全检测与认证、数据服务市场安全有序开放等领域实现互惠互利、合作共赢。</w:t>
      </w:r>
    </w:p>
    <w:p>
      <w:pPr>
        <w:pStyle w:val="13"/>
        <w:numPr>
          <w:ilvl w:val="0"/>
          <w:numId w:val="1"/>
        </w:numPr>
        <w:snapToGrid w:val="0"/>
        <w:spacing w:line="560" w:lineRule="exact"/>
        <w:ind w:firstLine="640"/>
        <w:rPr>
          <w:rFonts w:ascii="仿宋_GB2312" w:hAnsi="微软雅黑"/>
          <w:color w:val="auto"/>
          <w:sz w:val="22"/>
          <w:highlight w:val="none"/>
        </w:rPr>
      </w:pPr>
      <w:r>
        <w:rPr>
          <w:rFonts w:hint="eastAsia" w:ascii="仿宋_GB2312" w:hAnsi="仿宋"/>
          <w:color w:val="auto"/>
          <w:sz w:val="32"/>
          <w:szCs w:val="32"/>
          <w:highlight w:val="none"/>
        </w:rPr>
        <w:t>【数字贸易园区】自贸试验区结合各区域实际，建设中关村国家数字服务出口基地、贸易数字化示范区等数字贸易园区。推动数字贸易企业集聚，促进数字服务业发展。</w:t>
      </w:r>
    </w:p>
    <w:p>
      <w:pPr>
        <w:pStyle w:val="13"/>
        <w:numPr>
          <w:ilvl w:val="0"/>
          <w:numId w:val="1"/>
        </w:numPr>
        <w:snapToGrid w:val="0"/>
        <w:spacing w:line="560" w:lineRule="exact"/>
        <w:ind w:firstLine="640"/>
        <w:rPr>
          <w:rFonts w:ascii="仿宋_GB2312" w:hAnsi="微软雅黑"/>
          <w:color w:val="auto"/>
          <w:sz w:val="22"/>
          <w:highlight w:val="none"/>
        </w:rPr>
      </w:pPr>
      <w:r>
        <w:rPr>
          <w:rFonts w:hint="eastAsia" w:ascii="仿宋_GB2312" w:hAnsi="仿宋"/>
          <w:color w:val="auto"/>
          <w:sz w:val="32"/>
          <w:szCs w:val="32"/>
          <w:highlight w:val="none"/>
        </w:rPr>
        <w:t>【数字化监管】自贸试验区发挥区块链等数字技术优势，规范跨境贸易的合规性，保障跨境贸易服务的信息化、数字化发展。鼓励监管机构开展监管模式技术性改革，在自贸试验区内探索数字化、无纸化、高效便捷的监管模式。</w:t>
      </w:r>
    </w:p>
    <w:p>
      <w:pPr>
        <w:pStyle w:val="13"/>
        <w:numPr>
          <w:ilvl w:val="0"/>
          <w:numId w:val="1"/>
        </w:numPr>
        <w:snapToGrid w:val="0"/>
        <w:spacing w:line="560" w:lineRule="exact"/>
        <w:ind w:firstLine="640"/>
        <w:rPr>
          <w:rFonts w:ascii="仿宋_GB2312" w:hAnsi="微软雅黑"/>
          <w:color w:val="auto"/>
          <w:sz w:val="22"/>
          <w:highlight w:val="none"/>
        </w:rPr>
      </w:pPr>
      <w:r>
        <w:rPr>
          <w:rFonts w:hint="eastAsia" w:ascii="仿宋_GB2312" w:hAnsi="仿宋"/>
          <w:color w:val="auto"/>
          <w:sz w:val="32"/>
          <w:szCs w:val="32"/>
          <w:highlight w:val="none"/>
        </w:rPr>
        <w:t>【新业态新模式新场景】鼓励自贸试验区企业发展数字经济新业态新模式，推动数字技术融合应用和企业数字化转型发展。鼓励自贸试验区推进智慧街区和楼宇示范建设，开展公共设施的数字化改造和智慧化升级。</w:t>
      </w:r>
    </w:p>
    <w:p>
      <w:pPr>
        <w:pStyle w:val="13"/>
        <w:snapToGrid w:val="0"/>
        <w:spacing w:line="560" w:lineRule="exact"/>
        <w:ind w:left="440" w:firstLine="0" w:firstLineChars="0"/>
        <w:rPr>
          <w:rFonts w:ascii="仿宋_GB2312" w:hAnsi="微软雅黑"/>
          <w:color w:val="auto"/>
          <w:sz w:val="22"/>
          <w:highlight w:val="none"/>
        </w:rPr>
      </w:pPr>
    </w:p>
    <w:p>
      <w:pPr>
        <w:pStyle w:val="2"/>
        <w:spacing w:line="560" w:lineRule="exact"/>
        <w:rPr>
          <w:rFonts w:hint="eastAsia" w:eastAsia="黑体"/>
          <w:color w:val="auto"/>
          <w:highlight w:val="none"/>
          <w:lang w:eastAsia="zh-CN"/>
        </w:rPr>
      </w:pPr>
      <w:r>
        <w:rPr>
          <w:rFonts w:hint="eastAsia"/>
          <w:color w:val="auto"/>
          <w:highlight w:val="none"/>
        </w:rPr>
        <w:t>第六章</w:t>
      </w:r>
      <w:r>
        <w:rPr>
          <w:color w:val="auto"/>
          <w:highlight w:val="none"/>
        </w:rPr>
        <w:t xml:space="preserve"> </w:t>
      </w:r>
      <w:r>
        <w:rPr>
          <w:rFonts w:hint="eastAsia"/>
          <w:color w:val="auto"/>
          <w:highlight w:val="none"/>
        </w:rPr>
        <w:t>金融服务</w:t>
      </w:r>
    </w:p>
    <w:p>
      <w:pPr>
        <w:pStyle w:val="13"/>
        <w:numPr>
          <w:ilvl w:val="0"/>
          <w:numId w:val="1"/>
        </w:numPr>
        <w:wordWrap/>
        <w:adjustRightInd/>
        <w:snapToGrid w:val="0"/>
        <w:spacing w:line="560" w:lineRule="exact"/>
        <w:ind w:firstLine="640"/>
        <w:textAlignment w:val="auto"/>
        <w:rPr>
          <w:rFonts w:hint="eastAsia" w:ascii="仿宋_GB2312" w:hAnsi="仿宋"/>
          <w:color w:val="auto"/>
          <w:sz w:val="32"/>
          <w:szCs w:val="32"/>
          <w:highlight w:val="none"/>
        </w:rPr>
      </w:pPr>
      <w:r>
        <w:rPr>
          <w:rFonts w:hint="eastAsia" w:ascii="仿宋_GB2312" w:hAnsi="仿宋"/>
          <w:color w:val="auto"/>
          <w:sz w:val="32"/>
          <w:szCs w:val="32"/>
          <w:highlight w:val="none"/>
          <w:lang w:eastAsia="zh-CN"/>
        </w:rPr>
        <w:t>【创新金融服务】</w:t>
      </w:r>
      <w:r>
        <w:rPr>
          <w:rFonts w:hint="eastAsia" w:ascii="仿宋_GB2312" w:hAnsi="仿宋"/>
          <w:color w:val="auto"/>
          <w:sz w:val="32"/>
          <w:szCs w:val="32"/>
          <w:highlight w:val="none"/>
        </w:rPr>
        <w:t>自贸试验区坚持金融服务实体经济，推进金融改革创新，率先落实金融业开放先行先试政策。</w:t>
      </w:r>
    </w:p>
    <w:p>
      <w:pPr>
        <w:pStyle w:val="13"/>
        <w:numPr>
          <w:ilvl w:val="0"/>
          <w:numId w:val="1"/>
        </w:numPr>
        <w:wordWrap/>
        <w:adjustRightInd/>
        <w:snapToGrid w:val="0"/>
        <w:spacing w:line="560" w:lineRule="exact"/>
        <w:ind w:firstLine="640"/>
        <w:textAlignment w:val="auto"/>
        <w:rPr>
          <w:rFonts w:hint="eastAsia" w:ascii="仿宋_GB2312" w:hAnsi="仿宋"/>
          <w:color w:val="auto"/>
          <w:sz w:val="32"/>
          <w:szCs w:val="32"/>
          <w:highlight w:val="none"/>
          <w:lang w:eastAsia="zh-CN"/>
        </w:rPr>
      </w:pPr>
      <w:r>
        <w:rPr>
          <w:rFonts w:hint="eastAsia" w:ascii="仿宋_GB2312" w:hAnsi="仿宋"/>
          <w:color w:val="auto"/>
          <w:sz w:val="32"/>
          <w:szCs w:val="32"/>
          <w:highlight w:val="none"/>
          <w:lang w:eastAsia="zh-CN"/>
        </w:rPr>
        <w:t>【吸引金融机构】自贸试验区鼓励建设各类金融法人机构、专业子公司等机构，支持科创金融、绿色金融、数字金融、跨境金融、离岸金融、财富管理、养老金融等业态发展。鼓励国际金融组织集聚发展。</w:t>
      </w:r>
    </w:p>
    <w:p>
      <w:pPr>
        <w:pStyle w:val="6"/>
        <w:widowControl/>
        <w:wordWrap/>
        <w:adjustRightInd/>
        <w:snapToGrid/>
        <w:spacing w:before="0" w:beforeAutospacing="0" w:after="0" w:afterAutospacing="0" w:line="560" w:lineRule="exact"/>
        <w:ind w:left="0" w:leftChars="0" w:right="0" w:firstLine="700" w:firstLineChars="200"/>
        <w:jc w:val="both"/>
        <w:textAlignment w:val="auto"/>
        <w:outlineLvl w:val="9"/>
        <w:rPr>
          <w:rFonts w:hint="eastAsia" w:ascii="仿宋_GB2312" w:hAnsi="仿宋_GB2312" w:eastAsia="仿宋_GB2312" w:cs="仿宋_GB2312"/>
          <w:spacing w:val="15"/>
          <w:sz w:val="32"/>
          <w:szCs w:val="32"/>
        </w:rPr>
      </w:pPr>
      <w:r>
        <w:rPr>
          <w:rFonts w:hint="eastAsia" w:ascii="仿宋_GB2312" w:hAnsi="仿宋_GB2312" w:eastAsia="仿宋_GB2312" w:cs="仿宋_GB2312"/>
          <w:spacing w:val="15"/>
          <w:sz w:val="32"/>
          <w:szCs w:val="32"/>
        </w:rPr>
        <w:t>鼓励外资金融机构在区内设立或参股证券、基金、期货、人身险公司、银行理财子公司、保险资产管理公司、养老金管理公司、金融资产投资公司等。</w:t>
      </w:r>
    </w:p>
    <w:p>
      <w:pPr>
        <w:pStyle w:val="6"/>
        <w:widowControl/>
        <w:wordWrap/>
        <w:adjustRightInd/>
        <w:snapToGrid/>
        <w:spacing w:before="0" w:beforeAutospacing="0" w:after="0" w:afterAutospacing="0" w:line="560" w:lineRule="exact"/>
        <w:ind w:left="0" w:leftChars="0" w:right="0" w:firstLine="640" w:firstLineChars="200"/>
        <w:jc w:val="both"/>
        <w:textAlignment w:val="auto"/>
        <w:outlineLvl w:val="9"/>
        <w:rPr>
          <w:rFonts w:hint="eastAsia" w:ascii="仿宋_GB2312" w:hAnsi="微软雅黑" w:eastAsia="仿宋_GB2312"/>
          <w:sz w:val="32"/>
          <w:szCs w:val="32"/>
        </w:rPr>
      </w:pPr>
      <w:r>
        <w:rPr>
          <w:rFonts w:hint="eastAsia" w:ascii="仿宋_GB2312" w:hAnsi="微软雅黑" w:eastAsia="仿宋_GB2312"/>
          <w:sz w:val="32"/>
          <w:szCs w:val="32"/>
        </w:rPr>
        <w:t>鼓励各类金融机构在区内进行金融产品、业务、服务和管理创新。</w:t>
      </w:r>
    </w:p>
    <w:p>
      <w:pPr>
        <w:pStyle w:val="13"/>
        <w:numPr>
          <w:ilvl w:val="0"/>
          <w:numId w:val="1"/>
        </w:numPr>
        <w:wordWrap/>
        <w:adjustRightInd/>
        <w:snapToGrid w:val="0"/>
        <w:spacing w:line="560" w:lineRule="exact"/>
        <w:ind w:firstLine="640"/>
        <w:textAlignment w:val="auto"/>
        <w:rPr>
          <w:rFonts w:hint="eastAsia" w:ascii="仿宋_GB2312" w:hAnsi="仿宋" w:eastAsia="仿宋_GB2312"/>
          <w:sz w:val="32"/>
          <w:szCs w:val="32"/>
        </w:rPr>
      </w:pPr>
      <w:r>
        <w:rPr>
          <w:rFonts w:hint="eastAsia" w:ascii="仿宋_GB2312" w:hAnsi="仿宋"/>
          <w:color w:val="auto"/>
          <w:sz w:val="32"/>
          <w:szCs w:val="32"/>
          <w:highlight w:val="none"/>
          <w:lang w:eastAsia="zh-CN"/>
        </w:rPr>
        <w:t>【金融基础设施建设】自贸试验区加强金融基础设施和服务平台建设。</w:t>
      </w:r>
      <w:r>
        <w:rPr>
          <w:rFonts w:hint="eastAsia" w:ascii="仿宋_GB2312" w:hAnsi="微软雅黑" w:eastAsia="仿宋_GB2312"/>
          <w:sz w:val="32"/>
          <w:szCs w:val="32"/>
        </w:rPr>
        <w:t>承接国家重要金融基础设施建设运营</w:t>
      </w:r>
      <w:r>
        <w:rPr>
          <w:rFonts w:hint="eastAsia" w:ascii="仿宋_GB2312" w:hAnsi="微软雅黑"/>
          <w:sz w:val="32"/>
          <w:szCs w:val="32"/>
          <w:lang w:eastAsia="zh-CN"/>
        </w:rPr>
        <w:t>。</w:t>
      </w:r>
      <w:r>
        <w:rPr>
          <w:rFonts w:hint="eastAsia" w:ascii="仿宋_GB2312" w:hAnsi="仿宋" w:eastAsia="仿宋_GB2312"/>
          <w:sz w:val="32"/>
          <w:szCs w:val="32"/>
          <w:lang w:eastAsia="zh-CN"/>
        </w:rPr>
        <w:t>鼓励</w:t>
      </w:r>
      <w:r>
        <w:rPr>
          <w:rFonts w:hint="eastAsia" w:ascii="仿宋_GB2312" w:hAnsi="仿宋" w:eastAsia="仿宋_GB2312"/>
          <w:sz w:val="32"/>
          <w:szCs w:val="32"/>
        </w:rPr>
        <w:t>金融机构在区内完善基础设施布局，强化金融机构总部的资金管理和支付清算枢纽作用</w:t>
      </w:r>
      <w:r>
        <w:rPr>
          <w:rFonts w:hint="eastAsia" w:ascii="仿宋_GB2312" w:hAnsi="仿宋"/>
          <w:sz w:val="32"/>
          <w:szCs w:val="32"/>
          <w:lang w:eastAsia="zh-CN"/>
        </w:rPr>
        <w:t>。</w:t>
      </w:r>
      <w:r>
        <w:rPr>
          <w:rFonts w:hint="eastAsia" w:ascii="仿宋_GB2312" w:hAnsi="仿宋" w:eastAsia="仿宋_GB2312"/>
          <w:sz w:val="32"/>
          <w:szCs w:val="32"/>
          <w:lang w:eastAsia="zh-CN"/>
        </w:rPr>
        <w:t>鼓励</w:t>
      </w:r>
      <w:r>
        <w:rPr>
          <w:rFonts w:hint="eastAsia" w:ascii="仿宋_GB2312" w:hAnsi="仿宋"/>
          <w:sz w:val="32"/>
          <w:szCs w:val="32"/>
          <w:lang w:eastAsia="zh-CN"/>
        </w:rPr>
        <w:t>建设</w:t>
      </w:r>
      <w:r>
        <w:rPr>
          <w:rFonts w:hint="eastAsia" w:ascii="仿宋_GB2312" w:hAnsi="仿宋" w:eastAsia="仿宋_GB2312"/>
          <w:sz w:val="32"/>
          <w:szCs w:val="32"/>
        </w:rPr>
        <w:t>支付清算类国家金融基础设施，推动设立</w:t>
      </w:r>
      <w:r>
        <w:rPr>
          <w:rFonts w:hint="eastAsia" w:ascii="仿宋_GB2312" w:hAnsi="仿宋"/>
          <w:sz w:val="32"/>
          <w:szCs w:val="32"/>
          <w:lang w:eastAsia="zh-CN"/>
        </w:rPr>
        <w:t>并完善</w:t>
      </w:r>
      <w:r>
        <w:rPr>
          <w:rFonts w:hint="eastAsia" w:ascii="仿宋_GB2312" w:hAnsi="仿宋" w:eastAsia="仿宋_GB2312"/>
          <w:sz w:val="32"/>
          <w:szCs w:val="32"/>
        </w:rPr>
        <w:t>本外币合一的支付清算系统和平台。</w:t>
      </w:r>
    </w:p>
    <w:p>
      <w:pPr>
        <w:pStyle w:val="13"/>
        <w:numPr>
          <w:ilvl w:val="0"/>
          <w:numId w:val="1"/>
        </w:numPr>
        <w:wordWrap/>
        <w:adjustRightInd/>
        <w:snapToGrid w:val="0"/>
        <w:spacing w:line="560" w:lineRule="exact"/>
        <w:ind w:firstLine="640"/>
        <w:textAlignment w:val="auto"/>
        <w:rPr>
          <w:rFonts w:hint="eastAsia" w:ascii="仿宋_GB2312" w:hAnsi="仿宋"/>
          <w:color w:val="auto"/>
          <w:sz w:val="32"/>
          <w:szCs w:val="32"/>
          <w:highlight w:val="none"/>
          <w:lang w:eastAsia="zh-CN"/>
        </w:rPr>
      </w:pPr>
      <w:r>
        <w:rPr>
          <w:rFonts w:hint="eastAsia" w:ascii="仿宋_GB2312" w:hAnsi="仿宋"/>
          <w:color w:val="auto"/>
          <w:sz w:val="32"/>
          <w:szCs w:val="32"/>
          <w:highlight w:val="none"/>
          <w:lang w:eastAsia="zh-CN"/>
        </w:rPr>
        <w:t>【科创金融】自贸试验区推动北京国际科技创新中心建设。鼓励金融机构在区内设立服务科技创新企业的科技金融特色分支行、科技金融事业部等专营机构，鼓励保险公司创新科技保险产品。鼓励金融资产投资公司依托附属机构，开展不以债转股为目的的股权投资、直接投资等支持科创企业的业务。鼓励保险资金投资中关村未上市科创企业。健全完善股权投资和创业投资份额转让平台，鼓励跨境私募股权二级市场基金和境外私募基金在平台交易。鼓励全球股权投资和创业投资中心建设。</w:t>
      </w:r>
      <w:bookmarkStart w:id="20" w:name="_GoBack"/>
      <w:bookmarkEnd w:id="20"/>
    </w:p>
    <w:p>
      <w:pPr>
        <w:pStyle w:val="13"/>
        <w:numPr>
          <w:ilvl w:val="0"/>
          <w:numId w:val="1"/>
        </w:numPr>
        <w:wordWrap/>
        <w:adjustRightInd/>
        <w:snapToGrid w:val="0"/>
        <w:spacing w:line="560" w:lineRule="exact"/>
        <w:ind w:firstLine="640"/>
        <w:textAlignment w:val="auto"/>
        <w:rPr>
          <w:rFonts w:hint="eastAsia" w:ascii="仿宋_GB2312" w:hAnsi="仿宋"/>
          <w:color w:val="auto"/>
          <w:sz w:val="32"/>
          <w:szCs w:val="32"/>
          <w:highlight w:val="none"/>
          <w:lang w:eastAsia="zh-CN"/>
        </w:rPr>
      </w:pPr>
      <w:r>
        <w:rPr>
          <w:rFonts w:hint="eastAsia" w:ascii="仿宋_GB2312" w:hAnsi="仿宋"/>
          <w:color w:val="auto"/>
          <w:sz w:val="32"/>
          <w:szCs w:val="32"/>
          <w:highlight w:val="none"/>
          <w:lang w:val="en-US" w:eastAsia="zh-CN"/>
        </w:rPr>
        <w:t>【绿色金融】</w:t>
      </w:r>
      <w:r>
        <w:rPr>
          <w:rFonts w:hint="eastAsia" w:ascii="仿宋_GB2312" w:hAnsi="仿宋"/>
          <w:color w:val="auto"/>
          <w:sz w:val="32"/>
          <w:szCs w:val="32"/>
          <w:highlight w:val="none"/>
          <w:lang w:eastAsia="zh-CN"/>
        </w:rPr>
        <w:t xml:space="preserve">自贸试验区促进绿色金融国际中心建设。 </w:t>
      </w:r>
    </w:p>
    <w:p>
      <w:pPr>
        <w:wordWrap/>
        <w:adjustRightInd/>
        <w:spacing w:line="560" w:lineRule="exact"/>
        <w:ind w:firstLine="640" w:firstLineChars="200"/>
        <w:textAlignment w:val="auto"/>
        <w:rPr>
          <w:rFonts w:hint="eastAsia" w:ascii="仿宋_GB2312" w:eastAsia="仿宋_GB2312"/>
          <w:sz w:val="32"/>
          <w:szCs w:val="32"/>
          <w:lang w:eastAsia="zh-CN"/>
        </w:rPr>
      </w:pPr>
      <w:r>
        <w:rPr>
          <w:rFonts w:hint="eastAsia" w:ascii="仿宋_GB2312"/>
          <w:sz w:val="32"/>
          <w:szCs w:val="32"/>
          <w:lang w:eastAsia="zh-CN"/>
        </w:rPr>
        <w:t>鼓励</w:t>
      </w:r>
      <w:r>
        <w:rPr>
          <w:rFonts w:hint="eastAsia" w:ascii="仿宋_GB2312" w:eastAsia="仿宋_GB2312"/>
          <w:sz w:val="32"/>
          <w:szCs w:val="32"/>
        </w:rPr>
        <w:t>建设绿色金融改革创新试验区,</w:t>
      </w:r>
      <w:r>
        <w:rPr>
          <w:rFonts w:hint="eastAsia" w:ascii="仿宋_GB2312"/>
          <w:sz w:val="32"/>
          <w:szCs w:val="32"/>
          <w:lang w:eastAsia="zh-CN"/>
        </w:rPr>
        <w:t>吸引</w:t>
      </w:r>
      <w:r>
        <w:rPr>
          <w:rFonts w:hint="eastAsia" w:ascii="仿宋_GB2312" w:eastAsia="仿宋_GB2312"/>
          <w:sz w:val="32"/>
          <w:szCs w:val="32"/>
        </w:rPr>
        <w:t>培育绿色金融机构，打造高效绿色金融服务体系，提升绿色金融国际影响力</w:t>
      </w:r>
      <w:r>
        <w:rPr>
          <w:rFonts w:hint="eastAsia" w:ascii="仿宋_GB2312"/>
          <w:sz w:val="32"/>
          <w:szCs w:val="32"/>
          <w:lang w:eastAsia="zh-CN"/>
        </w:rPr>
        <w:t>。</w:t>
      </w:r>
    </w:p>
    <w:p>
      <w:pPr>
        <w:wordWrap/>
        <w:adjustRightInd/>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建设高水平、国际化的北京绿色交易所，</w:t>
      </w:r>
      <w:r>
        <w:rPr>
          <w:rFonts w:hint="eastAsia" w:ascii="仿宋_GB2312"/>
          <w:sz w:val="32"/>
          <w:szCs w:val="32"/>
          <w:lang w:eastAsia="zh-CN"/>
        </w:rPr>
        <w:t>建设</w:t>
      </w:r>
      <w:r>
        <w:rPr>
          <w:rFonts w:hint="eastAsia" w:ascii="仿宋_GB2312" w:eastAsia="仿宋_GB2312"/>
          <w:sz w:val="32"/>
          <w:szCs w:val="32"/>
        </w:rPr>
        <w:t>全国自愿减排等碳交易中心</w:t>
      </w:r>
      <w:r>
        <w:rPr>
          <w:rFonts w:hint="eastAsia" w:ascii="仿宋_GB2312"/>
          <w:sz w:val="32"/>
          <w:szCs w:val="32"/>
          <w:lang w:eastAsia="zh-CN"/>
        </w:rPr>
        <w:t>，</w:t>
      </w:r>
      <w:r>
        <w:rPr>
          <w:rFonts w:hint="eastAsia" w:ascii="仿宋_GB2312" w:eastAsia="仿宋_GB2312"/>
          <w:sz w:val="32"/>
          <w:szCs w:val="32"/>
        </w:rPr>
        <w:t>在碳排放权交易试点基础上，扩大覆盖行业范围，丰富碳交易产品</w:t>
      </w:r>
      <w:r>
        <w:rPr>
          <w:rFonts w:hint="eastAsia" w:ascii="仿宋_GB2312"/>
          <w:sz w:val="32"/>
          <w:szCs w:val="32"/>
          <w:lang w:eastAsia="zh-CN"/>
        </w:rPr>
        <w:t>。</w:t>
      </w:r>
    </w:p>
    <w:p>
      <w:pPr>
        <w:wordWrap/>
        <w:adjustRightInd/>
        <w:snapToGrid/>
        <w:spacing w:line="560" w:lineRule="exact"/>
        <w:ind w:firstLine="640" w:firstLineChars="200"/>
        <w:textAlignment w:val="auto"/>
        <w:rPr>
          <w:rFonts w:hint="eastAsia" w:ascii="仿宋_GB2312" w:eastAsia="仿宋_GB2312"/>
          <w:sz w:val="32"/>
          <w:szCs w:val="32"/>
          <w:highlight w:val="none"/>
          <w:lang w:eastAsia="zh-CN"/>
        </w:rPr>
      </w:pPr>
      <w:r>
        <w:rPr>
          <w:rFonts w:hint="eastAsia" w:ascii="仿宋_GB2312" w:eastAsia="仿宋_GB2312"/>
          <w:sz w:val="32"/>
          <w:szCs w:val="32"/>
          <w:highlight w:val="none"/>
        </w:rPr>
        <w:t>参与制定和应用国际领先的绿色金融标准，</w:t>
      </w:r>
      <w:r>
        <w:rPr>
          <w:rFonts w:hint="eastAsia" w:ascii="仿宋_GB2312"/>
          <w:sz w:val="32"/>
          <w:szCs w:val="32"/>
          <w:highlight w:val="none"/>
          <w:lang w:eastAsia="zh-CN"/>
        </w:rPr>
        <w:t>鼓励</w:t>
      </w:r>
      <w:r>
        <w:rPr>
          <w:rFonts w:hint="eastAsia" w:ascii="仿宋_GB2312" w:eastAsia="仿宋_GB2312"/>
          <w:sz w:val="32"/>
          <w:szCs w:val="32"/>
          <w:highlight w:val="none"/>
        </w:rPr>
        <w:t>绿色金融评级机构发展，建设国际绿色金融标准中心</w:t>
      </w:r>
      <w:r>
        <w:rPr>
          <w:rFonts w:hint="eastAsia" w:ascii="仿宋_GB2312"/>
          <w:sz w:val="32"/>
          <w:szCs w:val="32"/>
          <w:highlight w:val="none"/>
          <w:lang w:eastAsia="zh-CN"/>
        </w:rPr>
        <w:t>，鼓励</w:t>
      </w:r>
      <w:r>
        <w:rPr>
          <w:rFonts w:hint="eastAsia" w:ascii="仿宋_GB2312" w:eastAsia="仿宋_GB2312"/>
          <w:sz w:val="32"/>
          <w:szCs w:val="32"/>
          <w:highlight w:val="none"/>
        </w:rPr>
        <w:t>第三方服务机构发布</w:t>
      </w:r>
      <w:r>
        <w:rPr>
          <w:rFonts w:hint="eastAsia" w:ascii="仿宋_GB2312"/>
          <w:sz w:val="32"/>
          <w:szCs w:val="32"/>
          <w:highlight w:val="none"/>
          <w:lang w:eastAsia="zh-CN"/>
        </w:rPr>
        <w:t>环境社会治理</w:t>
      </w:r>
      <w:r>
        <w:rPr>
          <w:rFonts w:hint="eastAsia" w:ascii="仿宋_GB2312" w:eastAsia="仿宋_GB2312"/>
          <w:sz w:val="32"/>
          <w:szCs w:val="32"/>
          <w:highlight w:val="none"/>
        </w:rPr>
        <w:t>中国指数，提供</w:t>
      </w:r>
      <w:r>
        <w:rPr>
          <w:rFonts w:hint="eastAsia" w:ascii="仿宋_GB2312"/>
          <w:sz w:val="32"/>
          <w:szCs w:val="32"/>
          <w:highlight w:val="none"/>
          <w:lang w:eastAsia="zh-CN"/>
        </w:rPr>
        <w:t>环境社会治理</w:t>
      </w:r>
      <w:r>
        <w:rPr>
          <w:rFonts w:hint="eastAsia" w:ascii="仿宋_GB2312" w:eastAsia="仿宋_GB2312"/>
          <w:sz w:val="32"/>
          <w:szCs w:val="32"/>
          <w:highlight w:val="none"/>
        </w:rPr>
        <w:t>投资的中国标准，研发</w:t>
      </w:r>
      <w:r>
        <w:rPr>
          <w:rFonts w:hint="eastAsia" w:ascii="仿宋_GB2312"/>
          <w:sz w:val="32"/>
          <w:szCs w:val="32"/>
          <w:highlight w:val="none"/>
          <w:lang w:eastAsia="zh-CN"/>
        </w:rPr>
        <w:t>环境社会治理金融</w:t>
      </w:r>
      <w:r>
        <w:rPr>
          <w:rFonts w:hint="eastAsia" w:ascii="仿宋_GB2312" w:eastAsia="仿宋_GB2312"/>
          <w:sz w:val="32"/>
          <w:szCs w:val="32"/>
          <w:highlight w:val="none"/>
        </w:rPr>
        <w:t>产品</w:t>
      </w:r>
      <w:r>
        <w:rPr>
          <w:rFonts w:hint="eastAsia" w:ascii="仿宋_GB2312"/>
          <w:sz w:val="32"/>
          <w:szCs w:val="32"/>
          <w:highlight w:val="none"/>
          <w:lang w:eastAsia="zh-CN"/>
        </w:rPr>
        <w:t>。</w:t>
      </w:r>
    </w:p>
    <w:p>
      <w:pPr>
        <w:pStyle w:val="6"/>
        <w:wordWrap/>
        <w:adjustRightInd/>
        <w:snapToGrid/>
        <w:spacing w:before="0" w:beforeAutospacing="0" w:after="0" w:afterAutospacing="0" w:line="560" w:lineRule="exact"/>
        <w:ind w:firstLine="640" w:firstLineChars="200"/>
        <w:jc w:val="both"/>
        <w:textAlignment w:val="auto"/>
        <w:rPr>
          <w:rFonts w:hint="eastAsia" w:ascii="仿宋_GB2312" w:hAnsi="Calibri" w:eastAsia="仿宋_GB2312" w:cs="Times New Roman"/>
          <w:kern w:val="2"/>
          <w:sz w:val="32"/>
          <w:szCs w:val="32"/>
          <w:highlight w:val="none"/>
          <w:lang w:eastAsia="zh-CN"/>
        </w:rPr>
      </w:pPr>
      <w:r>
        <w:rPr>
          <w:rFonts w:hint="eastAsia" w:ascii="仿宋_GB2312" w:hAnsi="Calibri" w:eastAsia="仿宋_GB2312" w:cs="Times New Roman"/>
          <w:kern w:val="2"/>
          <w:sz w:val="32"/>
          <w:szCs w:val="32"/>
          <w:highlight w:val="none"/>
          <w:lang w:eastAsia="zh-CN"/>
        </w:rPr>
        <w:t>鼓励</w:t>
      </w:r>
      <w:r>
        <w:rPr>
          <w:rFonts w:hint="eastAsia" w:ascii="仿宋_GB2312" w:hAnsi="Calibri" w:eastAsia="仿宋_GB2312" w:cs="Times New Roman"/>
          <w:kern w:val="2"/>
          <w:sz w:val="32"/>
          <w:szCs w:val="32"/>
          <w:highlight w:val="none"/>
        </w:rPr>
        <w:t>绿色债券交易市场发展，编制绿色债券指数，</w:t>
      </w:r>
      <w:r>
        <w:rPr>
          <w:rFonts w:hint="eastAsia" w:ascii="仿宋_GB2312" w:hAnsi="Calibri" w:eastAsia="仿宋_GB2312" w:cs="Times New Roman"/>
          <w:kern w:val="2"/>
          <w:sz w:val="32"/>
          <w:szCs w:val="32"/>
          <w:highlight w:val="none"/>
          <w:lang w:eastAsia="zh-CN"/>
        </w:rPr>
        <w:t>鼓励</w:t>
      </w:r>
      <w:r>
        <w:rPr>
          <w:rFonts w:hint="eastAsia" w:ascii="仿宋_GB2312" w:hAnsi="Calibri" w:eastAsia="仿宋_GB2312" w:cs="Times New Roman"/>
          <w:kern w:val="2"/>
          <w:sz w:val="32"/>
          <w:szCs w:val="32"/>
          <w:highlight w:val="none"/>
        </w:rPr>
        <w:t>国际绿色债券认证机构</w:t>
      </w:r>
      <w:r>
        <w:rPr>
          <w:rFonts w:hint="eastAsia" w:ascii="仿宋_GB2312" w:hAnsi="Calibri" w:eastAsia="仿宋_GB2312" w:cs="Times New Roman"/>
          <w:kern w:val="2"/>
          <w:sz w:val="32"/>
          <w:szCs w:val="32"/>
          <w:highlight w:val="none"/>
          <w:lang w:eastAsia="zh-CN"/>
        </w:rPr>
        <w:t>建设</w:t>
      </w:r>
      <w:r>
        <w:rPr>
          <w:rFonts w:hint="eastAsia" w:ascii="仿宋_GB2312" w:hAnsi="Calibri" w:eastAsia="仿宋_GB2312" w:cs="Times New Roman"/>
          <w:kern w:val="2"/>
          <w:sz w:val="32"/>
          <w:szCs w:val="32"/>
          <w:highlight w:val="none"/>
        </w:rPr>
        <w:t>，打造绿色债券交易中心</w:t>
      </w:r>
      <w:r>
        <w:rPr>
          <w:rFonts w:hint="eastAsia" w:ascii="仿宋_GB2312" w:hAnsi="Calibri" w:eastAsia="仿宋_GB2312" w:cs="Times New Roman"/>
          <w:kern w:val="2"/>
          <w:sz w:val="32"/>
          <w:szCs w:val="32"/>
          <w:highlight w:val="none"/>
          <w:lang w:eastAsia="zh-CN"/>
        </w:rPr>
        <w:t>。</w:t>
      </w:r>
    </w:p>
    <w:p>
      <w:pPr>
        <w:pStyle w:val="6"/>
        <w:wordWrap/>
        <w:adjustRightInd/>
        <w:snapToGrid/>
        <w:spacing w:before="0" w:beforeAutospacing="0" w:after="0" w:afterAutospacing="0" w:line="560" w:lineRule="exact"/>
        <w:ind w:firstLine="640" w:firstLineChars="200"/>
        <w:jc w:val="both"/>
        <w:textAlignment w:val="auto"/>
        <w:rPr>
          <w:rFonts w:hint="eastAsia" w:ascii="仿宋_GB2312" w:hAnsi="Calibri" w:eastAsia="仿宋_GB2312" w:cs="Times New Roman"/>
          <w:kern w:val="2"/>
          <w:sz w:val="32"/>
          <w:szCs w:val="32"/>
          <w:highlight w:val="none"/>
        </w:rPr>
      </w:pPr>
      <w:r>
        <w:rPr>
          <w:rFonts w:hint="eastAsia" w:ascii="仿宋_GB2312" w:hAnsi="Calibri" w:eastAsia="仿宋_GB2312" w:cs="Times New Roman"/>
          <w:kern w:val="2"/>
          <w:sz w:val="32"/>
          <w:szCs w:val="32"/>
          <w:highlight w:val="none"/>
          <w:lang w:eastAsia="zh-CN"/>
        </w:rPr>
        <w:t>鼓励区内</w:t>
      </w:r>
      <w:r>
        <w:rPr>
          <w:rFonts w:hint="eastAsia" w:ascii="仿宋_GB2312" w:hAnsi="Calibri" w:eastAsia="仿宋_GB2312" w:cs="Times New Roman"/>
          <w:kern w:val="2"/>
          <w:sz w:val="32"/>
          <w:szCs w:val="32"/>
          <w:highlight w:val="none"/>
        </w:rPr>
        <w:t>金融机构</w:t>
      </w:r>
      <w:r>
        <w:rPr>
          <w:rFonts w:hint="eastAsia" w:ascii="仿宋_GB2312" w:hAnsi="Calibri" w:eastAsia="仿宋_GB2312" w:cs="Times New Roman"/>
          <w:kern w:val="2"/>
          <w:sz w:val="32"/>
          <w:szCs w:val="32"/>
          <w:highlight w:val="none"/>
          <w:lang w:eastAsia="zh-CN"/>
        </w:rPr>
        <w:t>探索</w:t>
      </w:r>
      <w:r>
        <w:rPr>
          <w:rFonts w:hint="eastAsia" w:ascii="仿宋_GB2312" w:hAnsi="Calibri" w:eastAsia="仿宋_GB2312" w:cs="Times New Roman"/>
          <w:kern w:val="2"/>
          <w:sz w:val="32"/>
          <w:szCs w:val="32"/>
          <w:highlight w:val="none"/>
        </w:rPr>
        <w:t>开展跨境绿色信贷资产证券化，发行承销跨境绿色债券、绿色基础设施不动产投资信托基金，开展跨境股权投融资等业务。</w:t>
      </w:r>
    </w:p>
    <w:p>
      <w:pPr>
        <w:pStyle w:val="13"/>
        <w:numPr>
          <w:ilvl w:val="0"/>
          <w:numId w:val="1"/>
        </w:numPr>
        <w:wordWrap/>
        <w:adjustRightInd/>
        <w:snapToGrid w:val="0"/>
        <w:spacing w:line="560" w:lineRule="exact"/>
        <w:ind w:firstLine="640"/>
        <w:textAlignment w:val="auto"/>
        <w:rPr>
          <w:rFonts w:hint="eastAsia" w:ascii="仿宋_GB2312" w:hAnsi="仿宋"/>
          <w:color w:val="auto"/>
          <w:sz w:val="32"/>
          <w:szCs w:val="32"/>
          <w:highlight w:val="none"/>
          <w:lang w:val="en-US" w:eastAsia="zh-CN"/>
        </w:rPr>
      </w:pPr>
      <w:r>
        <w:rPr>
          <w:rFonts w:hint="eastAsia" w:ascii="仿宋_GB2312" w:hAnsi="仿宋"/>
          <w:color w:val="auto"/>
          <w:sz w:val="32"/>
          <w:szCs w:val="32"/>
          <w:highlight w:val="none"/>
          <w:lang w:val="en-US" w:eastAsia="zh-CN"/>
        </w:rPr>
        <w:t>【金融科技】自贸试验区鼓励支付清算、登记托管、征信评级、资产交易、数据管理等金融科技重大项目建设。推动建设法定数字货币试验区和数字金融体系。建设金融科技应用场景试验区，鼓励商业银行、保险公司、证券公司等持牌金融机构在区内设立金融科技子公司，开展金融科技业务创新试点，支持符合条件的金融科技公司吸引创业投资并上市融资。</w:t>
      </w:r>
    </w:p>
    <w:p>
      <w:pPr>
        <w:pStyle w:val="13"/>
        <w:numPr>
          <w:ilvl w:val="0"/>
          <w:numId w:val="1"/>
        </w:numPr>
        <w:wordWrap/>
        <w:adjustRightInd/>
        <w:snapToGrid w:val="0"/>
        <w:spacing w:line="560" w:lineRule="exact"/>
        <w:ind w:firstLine="640"/>
        <w:textAlignment w:val="auto"/>
        <w:rPr>
          <w:rFonts w:hint="eastAsia" w:ascii="仿宋_GB2312" w:hAnsi="仿宋"/>
          <w:color w:val="auto"/>
          <w:sz w:val="32"/>
          <w:szCs w:val="32"/>
          <w:highlight w:val="none"/>
          <w:lang w:val="en-US" w:eastAsia="zh-CN"/>
        </w:rPr>
      </w:pPr>
      <w:r>
        <w:rPr>
          <w:rFonts w:hint="eastAsia" w:ascii="仿宋_GB2312" w:hAnsi="仿宋"/>
          <w:color w:val="auto"/>
          <w:sz w:val="32"/>
          <w:szCs w:val="32"/>
          <w:highlight w:val="none"/>
          <w:lang w:val="en-US" w:eastAsia="zh-CN"/>
        </w:rPr>
        <w:t>【</w:t>
      </w:r>
      <w:r>
        <w:rPr>
          <w:rFonts w:hint="eastAsia" w:ascii="仿宋_GB2312" w:hAnsi="仿宋"/>
          <w:color w:val="auto"/>
          <w:sz w:val="32"/>
          <w:szCs w:val="32"/>
          <w:highlight w:val="none"/>
        </w:rPr>
        <w:t>跨境资金流动</w:t>
      </w:r>
      <w:r>
        <w:rPr>
          <w:rFonts w:hint="eastAsia" w:ascii="仿宋_GB2312" w:hAnsi="仿宋"/>
          <w:color w:val="auto"/>
          <w:sz w:val="32"/>
          <w:szCs w:val="32"/>
          <w:highlight w:val="none"/>
          <w:lang w:val="en-US" w:eastAsia="zh-CN"/>
        </w:rPr>
        <w:t>】自贸试验区便利跨境资金流动，探索创新外汇管理体制，提升跨境贸易投资便利化水平。鼓励跨国公司开展跨境资金集中运营管理。稳步推进人民币资本项目可兑换、人民币跨境使用等方面的改革创新。发挥人民币国际投贷基金作用，开展人民币境外直接投资和人民币海外贷款业务。支持跨境人民币贸易融资转让服务平台发展。</w:t>
      </w:r>
    </w:p>
    <w:p>
      <w:pPr>
        <w:pStyle w:val="13"/>
        <w:numPr>
          <w:ilvl w:val="0"/>
          <w:numId w:val="1"/>
        </w:numPr>
        <w:wordWrap/>
        <w:adjustRightInd/>
        <w:snapToGrid w:val="0"/>
        <w:spacing w:line="560" w:lineRule="exact"/>
        <w:ind w:firstLine="640"/>
        <w:textAlignment w:val="auto"/>
        <w:rPr>
          <w:rFonts w:hint="eastAsia" w:ascii="仿宋_GB2312" w:hAnsi="仿宋"/>
          <w:color w:val="auto"/>
          <w:sz w:val="32"/>
          <w:szCs w:val="32"/>
          <w:highlight w:val="none"/>
          <w:lang w:val="en-US" w:eastAsia="zh-CN"/>
        </w:rPr>
      </w:pPr>
      <w:r>
        <w:rPr>
          <w:rFonts w:hint="eastAsia" w:ascii="仿宋_GB2312" w:hAnsi="仿宋"/>
          <w:color w:val="auto"/>
          <w:sz w:val="32"/>
          <w:szCs w:val="32"/>
          <w:highlight w:val="none"/>
          <w:lang w:val="en-US" w:eastAsia="zh-CN"/>
        </w:rPr>
        <w:t>【离岸金融】自贸试验区鼓励发展离岸金融业务。鼓励区内银行申请离岸银行业务资格。优化境外机构境内银行账户功能，建立并完善本外币合一的银行账户体系。鼓励区内金融机构丰富离岸金融产品，开展离岸证券、离岸基金、离岸托管等业务创新，丰富人民币离岸交易枢纽功能。</w:t>
      </w:r>
    </w:p>
    <w:p>
      <w:pPr>
        <w:pStyle w:val="13"/>
        <w:numPr>
          <w:ilvl w:val="0"/>
          <w:numId w:val="1"/>
        </w:numPr>
        <w:wordWrap/>
        <w:adjustRightInd/>
        <w:snapToGrid w:val="0"/>
        <w:spacing w:line="560" w:lineRule="exact"/>
        <w:ind w:firstLine="640"/>
        <w:textAlignment w:val="auto"/>
        <w:rPr>
          <w:rFonts w:hint="eastAsia" w:ascii="仿宋_GB2312" w:hAnsi="仿宋"/>
          <w:color w:val="auto"/>
          <w:sz w:val="32"/>
          <w:szCs w:val="32"/>
          <w:highlight w:val="none"/>
          <w:lang w:val="en-US" w:eastAsia="zh-CN"/>
        </w:rPr>
      </w:pPr>
      <w:r>
        <w:rPr>
          <w:rFonts w:hint="eastAsia" w:ascii="仿宋_GB2312" w:hAnsi="仿宋"/>
          <w:color w:val="auto"/>
          <w:sz w:val="32"/>
          <w:szCs w:val="32"/>
          <w:highlight w:val="none"/>
          <w:lang w:val="en-US" w:eastAsia="zh-CN"/>
        </w:rPr>
        <w:t>【“一带一路”金融合作】自贸试验区推动面向“一带一路”倡议的金融合作与开放。鼓励建设“一带一路”资产交易平台，为市场提供信息撮合、项目融资、国有产权流动、人民币跨境交易、风险管理等方面的服务。鼓励研发创新银行保险产品，加大与沿线国家金融合作。支持金融机构完善在沿线国家的业务布局，提升跨境金融服务水平。</w:t>
      </w:r>
    </w:p>
    <w:p>
      <w:pPr>
        <w:pStyle w:val="13"/>
        <w:numPr>
          <w:ilvl w:val="0"/>
          <w:numId w:val="1"/>
        </w:numPr>
        <w:wordWrap/>
        <w:adjustRightInd/>
        <w:snapToGrid w:val="0"/>
        <w:spacing w:line="560" w:lineRule="exact"/>
        <w:ind w:firstLine="640"/>
        <w:textAlignment w:val="auto"/>
        <w:rPr>
          <w:rFonts w:hint="eastAsia" w:ascii="仿宋_GB2312" w:hAnsi="仿宋" w:eastAsia="仿宋_GB2312" w:cs="宋体"/>
          <w:color w:val="auto"/>
          <w:kern w:val="2"/>
          <w:sz w:val="32"/>
          <w:szCs w:val="32"/>
          <w:highlight w:val="none"/>
          <w:lang w:val="en-US" w:eastAsia="zh-CN" w:bidi="ar-SA"/>
        </w:rPr>
      </w:pPr>
      <w:r>
        <w:rPr>
          <w:rFonts w:hint="eastAsia" w:ascii="仿宋_GB2312" w:hAnsi="仿宋"/>
          <w:color w:val="auto"/>
          <w:sz w:val="32"/>
          <w:szCs w:val="32"/>
          <w:highlight w:val="none"/>
          <w:lang w:val="en-US" w:eastAsia="zh-CN"/>
        </w:rPr>
        <w:t>【财富管理】自贸试验区</w:t>
      </w:r>
      <w:r>
        <w:rPr>
          <w:rFonts w:hint="eastAsia" w:ascii="仿宋_GB2312" w:hAnsi="仿宋" w:eastAsia="仿宋_GB2312" w:cs="宋体"/>
          <w:color w:val="auto"/>
          <w:kern w:val="2"/>
          <w:sz w:val="32"/>
          <w:szCs w:val="32"/>
          <w:highlight w:val="none"/>
          <w:lang w:val="en-US" w:eastAsia="zh-CN" w:bidi="ar-SA"/>
        </w:rPr>
        <w:t>鼓励金融机构开展全球资产配置，</w:t>
      </w:r>
      <w:r>
        <w:rPr>
          <w:rFonts w:hint="eastAsia" w:ascii="仿宋_GB2312" w:hAnsi="仿宋" w:cs="宋体"/>
          <w:color w:val="auto"/>
          <w:kern w:val="2"/>
          <w:sz w:val="32"/>
          <w:szCs w:val="32"/>
          <w:highlight w:val="none"/>
          <w:lang w:val="en-US" w:eastAsia="zh-CN" w:bidi="ar-SA"/>
        </w:rPr>
        <w:t>推动</w:t>
      </w:r>
      <w:r>
        <w:rPr>
          <w:rFonts w:hint="eastAsia" w:ascii="仿宋_GB2312" w:hAnsi="仿宋" w:eastAsia="仿宋_GB2312" w:cs="宋体"/>
          <w:color w:val="auto"/>
          <w:kern w:val="2"/>
          <w:sz w:val="32"/>
          <w:szCs w:val="32"/>
          <w:highlight w:val="none"/>
          <w:lang w:val="en-US" w:eastAsia="zh-CN" w:bidi="ar-SA"/>
        </w:rPr>
        <w:t>全球财富管理中心</w:t>
      </w:r>
      <w:r>
        <w:rPr>
          <w:rFonts w:hint="eastAsia" w:ascii="仿宋_GB2312" w:hAnsi="仿宋" w:cs="宋体"/>
          <w:color w:val="auto"/>
          <w:kern w:val="2"/>
          <w:sz w:val="32"/>
          <w:szCs w:val="32"/>
          <w:highlight w:val="none"/>
          <w:lang w:val="en-US" w:eastAsia="zh-CN" w:bidi="ar-SA"/>
        </w:rPr>
        <w:t>建设</w:t>
      </w:r>
      <w:r>
        <w:rPr>
          <w:rFonts w:hint="eastAsia" w:ascii="仿宋_GB2312" w:hAnsi="仿宋" w:eastAsia="仿宋_GB2312" w:cs="宋体"/>
          <w:color w:val="auto"/>
          <w:kern w:val="2"/>
          <w:sz w:val="32"/>
          <w:szCs w:val="32"/>
          <w:highlight w:val="none"/>
          <w:lang w:val="en-US" w:eastAsia="zh-CN" w:bidi="ar-SA"/>
        </w:rPr>
        <w:t>。支持境内外银行、保险、证券、基金、信托公司等在区内设立专业的财富管理机构。鼓励境内外优质私募基金、家族信托、家族办公室等机构</w:t>
      </w:r>
      <w:r>
        <w:rPr>
          <w:rFonts w:hint="eastAsia" w:ascii="仿宋_GB2312" w:hAnsi="仿宋" w:cs="宋体"/>
          <w:color w:val="auto"/>
          <w:kern w:val="2"/>
          <w:sz w:val="32"/>
          <w:szCs w:val="32"/>
          <w:highlight w:val="none"/>
          <w:lang w:val="en-US" w:eastAsia="zh-CN" w:bidi="ar-SA"/>
        </w:rPr>
        <w:t>在区内</w:t>
      </w:r>
      <w:r>
        <w:rPr>
          <w:rFonts w:hint="eastAsia" w:ascii="仿宋_GB2312" w:hAnsi="仿宋" w:eastAsia="仿宋_GB2312" w:cs="宋体"/>
          <w:color w:val="auto"/>
          <w:kern w:val="2"/>
          <w:sz w:val="32"/>
          <w:szCs w:val="32"/>
          <w:highlight w:val="none"/>
          <w:lang w:val="en-US" w:eastAsia="zh-CN" w:bidi="ar-SA"/>
        </w:rPr>
        <w:t>发展</w:t>
      </w:r>
      <w:r>
        <w:rPr>
          <w:rFonts w:hint="eastAsia" w:ascii="仿宋_GB2312" w:hAnsi="仿宋"/>
          <w:color w:val="auto"/>
          <w:sz w:val="32"/>
          <w:szCs w:val="32"/>
          <w:highlight w:val="none"/>
          <w:lang w:val="en-US" w:eastAsia="zh-CN"/>
        </w:rPr>
        <w:t xml:space="preserve">。 </w:t>
      </w:r>
    </w:p>
    <w:p>
      <w:pPr>
        <w:pStyle w:val="13"/>
        <w:numPr>
          <w:ilvl w:val="0"/>
          <w:numId w:val="1"/>
        </w:numPr>
        <w:wordWrap/>
        <w:adjustRightInd/>
        <w:snapToGrid w:val="0"/>
        <w:spacing w:line="560" w:lineRule="exact"/>
        <w:ind w:firstLine="640"/>
        <w:textAlignment w:val="auto"/>
        <w:rPr>
          <w:rFonts w:hint="eastAsia" w:ascii="仿宋_GB2312" w:hAnsi="仿宋" w:eastAsia="仿宋_GB2312"/>
          <w:sz w:val="32"/>
          <w:szCs w:val="32"/>
        </w:rPr>
      </w:pPr>
      <w:r>
        <w:rPr>
          <w:rFonts w:hint="eastAsia" w:ascii="仿宋_GB2312" w:hAnsi="仿宋"/>
          <w:color w:val="auto"/>
          <w:sz w:val="32"/>
          <w:szCs w:val="32"/>
          <w:highlight w:val="none"/>
          <w:lang w:val="en-US" w:eastAsia="zh-CN"/>
        </w:rPr>
        <w:t>【养老金融】自贸试验区鼓励</w:t>
      </w:r>
      <w:r>
        <w:rPr>
          <w:rFonts w:hint="eastAsia" w:ascii="仿宋_GB2312" w:hAnsi="仿宋" w:eastAsia="仿宋_GB2312" w:cs="宋体"/>
          <w:color w:val="auto"/>
          <w:kern w:val="2"/>
          <w:sz w:val="32"/>
          <w:szCs w:val="32"/>
          <w:highlight w:val="none"/>
          <w:lang w:val="en-US" w:eastAsia="zh-CN" w:bidi="ar-SA"/>
        </w:rPr>
        <w:t>符合条件的机构设立养老金管理公司。</w:t>
      </w:r>
      <w:r>
        <w:rPr>
          <w:rFonts w:hint="eastAsia" w:ascii="仿宋_GB2312" w:hAnsi="仿宋" w:cs="宋体"/>
          <w:color w:val="auto"/>
          <w:kern w:val="2"/>
          <w:sz w:val="32"/>
          <w:szCs w:val="32"/>
          <w:highlight w:val="none"/>
          <w:lang w:val="en-US" w:eastAsia="zh-CN" w:bidi="ar-SA"/>
        </w:rPr>
        <w:t>鼓励</w:t>
      </w:r>
      <w:r>
        <w:rPr>
          <w:rFonts w:hint="eastAsia" w:ascii="仿宋_GB2312" w:hAnsi="仿宋" w:eastAsia="仿宋_GB2312" w:cs="宋体"/>
          <w:color w:val="auto"/>
          <w:kern w:val="2"/>
          <w:sz w:val="32"/>
          <w:szCs w:val="32"/>
          <w:highlight w:val="none"/>
          <w:lang w:val="en-US" w:eastAsia="zh-CN" w:bidi="ar-SA"/>
        </w:rPr>
        <w:t>境外机构投资设立、参股养老金管理公司，允许国际知名养老金管理机构先行试点，完善第三支柱养老保险体系。</w:t>
      </w:r>
    </w:p>
    <w:p>
      <w:pPr>
        <w:pStyle w:val="13"/>
        <w:numPr>
          <w:ilvl w:val="0"/>
          <w:numId w:val="1"/>
        </w:numPr>
        <w:wordWrap/>
        <w:adjustRightInd/>
        <w:snapToGrid w:val="0"/>
        <w:spacing w:line="560" w:lineRule="exact"/>
        <w:ind w:firstLine="640"/>
        <w:textAlignment w:val="auto"/>
        <w:rPr>
          <w:rFonts w:hint="eastAsia" w:ascii="仿宋_GB2312" w:hAnsi="仿宋" w:eastAsia="仿宋_GB2312" w:cs="宋体"/>
          <w:color w:val="auto"/>
          <w:kern w:val="2"/>
          <w:sz w:val="32"/>
          <w:szCs w:val="32"/>
          <w:highlight w:val="none"/>
          <w:lang w:val="en-US" w:eastAsia="zh-CN" w:bidi="ar-SA"/>
        </w:rPr>
      </w:pPr>
      <w:r>
        <w:rPr>
          <w:rFonts w:hint="eastAsia" w:ascii="仿宋_GB2312" w:hAnsi="仿宋"/>
          <w:color w:val="auto"/>
          <w:sz w:val="32"/>
          <w:szCs w:val="32"/>
          <w:highlight w:val="none"/>
          <w:lang w:val="en-US" w:eastAsia="zh-CN"/>
        </w:rPr>
        <w:t>【再保险业务】</w:t>
      </w:r>
      <w:r>
        <w:rPr>
          <w:rFonts w:hint="eastAsia" w:ascii="仿宋_GB2312" w:hAnsi="仿宋" w:eastAsia="仿宋_GB2312" w:cs="宋体"/>
          <w:color w:val="auto"/>
          <w:kern w:val="2"/>
          <w:sz w:val="32"/>
          <w:szCs w:val="32"/>
          <w:highlight w:val="none"/>
          <w:lang w:val="en-US" w:eastAsia="zh-CN" w:bidi="ar-SA"/>
        </w:rPr>
        <w:t>自贸试验区</w:t>
      </w:r>
      <w:r>
        <w:rPr>
          <w:rFonts w:hint="eastAsia" w:ascii="仿宋_GB2312" w:hAnsi="仿宋" w:cs="宋体"/>
          <w:color w:val="auto"/>
          <w:kern w:val="2"/>
          <w:sz w:val="32"/>
          <w:szCs w:val="32"/>
          <w:highlight w:val="none"/>
          <w:lang w:val="en-US" w:eastAsia="zh-CN" w:bidi="ar-SA"/>
        </w:rPr>
        <w:t>鼓励</w:t>
      </w:r>
      <w:r>
        <w:rPr>
          <w:rFonts w:hint="eastAsia" w:ascii="仿宋_GB2312" w:hAnsi="仿宋" w:eastAsia="仿宋_GB2312" w:cs="宋体"/>
          <w:color w:val="auto"/>
          <w:kern w:val="2"/>
          <w:sz w:val="32"/>
          <w:szCs w:val="32"/>
          <w:highlight w:val="none"/>
          <w:lang w:val="en-US" w:eastAsia="zh-CN" w:bidi="ar-SA"/>
        </w:rPr>
        <w:t>建设国际再保险中心。丰富再保险机构主体类型，吸引境内外保险集团、保险公司和再保险公司在区内设立再保险法人机构或再保险功能性机构，鼓励大型企业在区内设立自保公司。发展全球保单分入业务，增强区内再保险市场承接全球风险的能力。</w:t>
      </w:r>
      <w:r>
        <w:rPr>
          <w:rFonts w:hint="eastAsia" w:ascii="仿宋_GB2312" w:hAnsi="仿宋" w:cs="宋体"/>
          <w:color w:val="auto"/>
          <w:kern w:val="2"/>
          <w:sz w:val="32"/>
          <w:szCs w:val="32"/>
          <w:highlight w:val="none"/>
          <w:lang w:val="en-US" w:eastAsia="zh-CN" w:bidi="ar-SA"/>
        </w:rPr>
        <w:t>鼓励</w:t>
      </w:r>
      <w:r>
        <w:rPr>
          <w:rFonts w:hint="eastAsia" w:ascii="仿宋_GB2312" w:hAnsi="仿宋" w:eastAsia="仿宋_GB2312" w:cs="宋体"/>
          <w:color w:val="auto"/>
          <w:kern w:val="2"/>
          <w:sz w:val="32"/>
          <w:szCs w:val="32"/>
          <w:highlight w:val="none"/>
          <w:lang w:val="en-US" w:eastAsia="zh-CN" w:bidi="ar-SA"/>
        </w:rPr>
        <w:t>在区内设立再保险交易平台，积极发展国际再保险市场。</w:t>
      </w:r>
    </w:p>
    <w:p>
      <w:pPr>
        <w:pStyle w:val="13"/>
        <w:numPr>
          <w:ilvl w:val="0"/>
          <w:numId w:val="1"/>
        </w:numPr>
        <w:wordWrap/>
        <w:adjustRightInd/>
        <w:snapToGrid w:val="0"/>
        <w:spacing w:line="560" w:lineRule="exact"/>
        <w:ind w:firstLine="640"/>
        <w:textAlignment w:val="auto"/>
        <w:rPr>
          <w:rFonts w:ascii="仿宋_GB2312" w:hAnsi="仿宋"/>
          <w:color w:val="auto"/>
          <w:sz w:val="32"/>
          <w:szCs w:val="32"/>
          <w:highlight w:val="none"/>
        </w:rPr>
      </w:pPr>
      <w:r>
        <w:rPr>
          <w:rFonts w:hint="eastAsia" w:ascii="仿宋_GB2312" w:hAnsi="仿宋"/>
          <w:color w:val="auto"/>
          <w:sz w:val="32"/>
          <w:szCs w:val="32"/>
          <w:highlight w:val="none"/>
          <w:lang w:val="en-US" w:eastAsia="zh-CN"/>
        </w:rPr>
        <w:t>【金融风险监测预警】</w:t>
      </w:r>
      <w:r>
        <w:rPr>
          <w:rFonts w:hint="eastAsia" w:ascii="仿宋_GB2312" w:hAnsi="仿宋" w:eastAsia="仿宋_GB2312" w:cs="宋体"/>
          <w:color w:val="auto"/>
          <w:kern w:val="2"/>
          <w:sz w:val="32"/>
          <w:szCs w:val="32"/>
          <w:highlight w:val="none"/>
          <w:lang w:val="en-US" w:eastAsia="zh-CN" w:bidi="ar-SA"/>
        </w:rPr>
        <w:t>自贸试验区应当配合国家金融管理部门完善金融风险监测预警和评估机制，建立与自贸试验区金融发展相适应的风险防范机制。发挥北京金融法院作用，加大对中外各类金融机构合规经营活动的司法保护力度。</w:t>
      </w:r>
      <w:r>
        <w:rPr>
          <w:rFonts w:hint="eastAsia" w:ascii="仿宋_GB2312" w:hAnsi="仿宋" w:cs="宋体"/>
          <w:color w:val="auto"/>
          <w:kern w:val="2"/>
          <w:sz w:val="32"/>
          <w:szCs w:val="32"/>
          <w:highlight w:val="none"/>
          <w:lang w:val="en-US" w:eastAsia="zh-CN" w:bidi="ar-SA"/>
        </w:rPr>
        <w:t>区内</w:t>
      </w:r>
      <w:r>
        <w:rPr>
          <w:rFonts w:hint="eastAsia" w:ascii="仿宋_GB2312" w:hAnsi="仿宋" w:eastAsia="仿宋_GB2312" w:cs="宋体"/>
          <w:color w:val="auto"/>
          <w:kern w:val="2"/>
          <w:sz w:val="32"/>
          <w:szCs w:val="32"/>
          <w:highlight w:val="none"/>
          <w:lang w:val="en-US" w:eastAsia="zh-CN" w:bidi="ar-SA"/>
        </w:rPr>
        <w:t>金融机构</w:t>
      </w:r>
      <w:r>
        <w:rPr>
          <w:rFonts w:hint="eastAsia" w:ascii="仿宋_GB2312" w:hAnsi="仿宋" w:cs="宋体"/>
          <w:color w:val="auto"/>
          <w:kern w:val="2"/>
          <w:sz w:val="32"/>
          <w:szCs w:val="32"/>
          <w:highlight w:val="none"/>
          <w:lang w:val="en-US" w:eastAsia="zh-CN" w:bidi="ar-SA"/>
        </w:rPr>
        <w:t>应当</w:t>
      </w:r>
      <w:r>
        <w:rPr>
          <w:rFonts w:hint="eastAsia" w:ascii="仿宋_GB2312" w:hAnsi="仿宋" w:eastAsia="仿宋_GB2312" w:cs="宋体"/>
          <w:color w:val="auto"/>
          <w:kern w:val="2"/>
          <w:sz w:val="32"/>
          <w:szCs w:val="32"/>
          <w:highlight w:val="none"/>
          <w:lang w:val="en-US" w:eastAsia="zh-CN" w:bidi="ar-SA"/>
        </w:rPr>
        <w:t>向金融管理部门报送相关信息，履行反洗钱、反恐怖融资和反逃税等义务，配合金融管理部门监管跨境异常资金流动，落实金融消费者和投资者权益保护责任。</w:t>
      </w:r>
    </w:p>
    <w:p>
      <w:pPr>
        <w:pStyle w:val="13"/>
        <w:snapToGrid w:val="0"/>
        <w:spacing w:line="560" w:lineRule="exact"/>
        <w:ind w:left="640" w:firstLine="0" w:firstLineChars="0"/>
        <w:rPr>
          <w:rFonts w:ascii="仿宋_GB2312" w:hAnsi="仿宋"/>
          <w:color w:val="auto"/>
          <w:sz w:val="32"/>
          <w:szCs w:val="32"/>
          <w:highlight w:val="none"/>
        </w:rPr>
      </w:pPr>
    </w:p>
    <w:p>
      <w:pPr>
        <w:pStyle w:val="2"/>
        <w:spacing w:line="560" w:lineRule="exact"/>
        <w:rPr>
          <w:rFonts w:hAnsi="微软雅黑"/>
          <w:color w:val="auto"/>
          <w:highlight w:val="none"/>
        </w:rPr>
      </w:pPr>
      <w:bookmarkStart w:id="12" w:name="_Toc79312589"/>
      <w:r>
        <w:rPr>
          <w:rFonts w:hint="eastAsia"/>
          <w:color w:val="auto"/>
          <w:highlight w:val="none"/>
        </w:rPr>
        <w:t>第七章 优势产业开放创新</w:t>
      </w:r>
      <w:bookmarkEnd w:id="12"/>
    </w:p>
    <w:p>
      <w:pPr>
        <w:pStyle w:val="13"/>
        <w:numPr>
          <w:ilvl w:val="0"/>
          <w:numId w:val="1"/>
        </w:numPr>
        <w:snapToGrid w:val="0"/>
        <w:spacing w:line="560" w:lineRule="exact"/>
        <w:ind w:firstLine="640"/>
        <w:rPr>
          <w:rFonts w:ascii="仿宋_GB2312" w:hAnsi="微软雅黑"/>
          <w:color w:val="auto"/>
          <w:sz w:val="22"/>
          <w:highlight w:val="none"/>
        </w:rPr>
      </w:pPr>
      <w:r>
        <w:rPr>
          <w:rFonts w:hint="eastAsia" w:ascii="仿宋_GB2312" w:hAnsi="仿宋"/>
          <w:color w:val="auto"/>
          <w:sz w:val="32"/>
          <w:szCs w:val="32"/>
          <w:highlight w:val="none"/>
        </w:rPr>
        <w:t>【优势产业开放创新】自贸试验区鼓励医疗健康、专业服务、教育、商贸文旅、航空服务、科技、互联网信息等优势产业开放发展，形成现代服务产业集聚的开放平台。</w:t>
      </w:r>
    </w:p>
    <w:p>
      <w:pPr>
        <w:pStyle w:val="13"/>
        <w:numPr>
          <w:ilvl w:val="0"/>
          <w:numId w:val="1"/>
        </w:numPr>
        <w:snapToGrid w:val="0"/>
        <w:spacing w:line="560" w:lineRule="exact"/>
        <w:ind w:firstLine="640"/>
        <w:rPr>
          <w:rFonts w:ascii="仿宋_GB2312" w:hAnsi="微软雅黑"/>
          <w:color w:val="auto"/>
          <w:sz w:val="22"/>
          <w:highlight w:val="none"/>
        </w:rPr>
      </w:pPr>
      <w:bookmarkStart w:id="13" w:name="_Hlk80521454"/>
      <w:r>
        <w:rPr>
          <w:rFonts w:hint="eastAsia" w:ascii="仿宋_GB2312" w:hAnsi="仿宋"/>
          <w:color w:val="auto"/>
          <w:sz w:val="32"/>
          <w:szCs w:val="32"/>
          <w:highlight w:val="none"/>
        </w:rPr>
        <w:t>【医疗健康产业开放】自贸试验区采取下列措施促进医疗健康产业开放发展：</w:t>
      </w:r>
    </w:p>
    <w:p>
      <w:pPr>
        <w:snapToGrid w:val="0"/>
        <w:spacing w:line="560" w:lineRule="exact"/>
        <w:ind w:firstLine="640" w:firstLineChars="200"/>
        <w:rPr>
          <w:rFonts w:ascii="仿宋_GB2312" w:hAnsi="仿宋"/>
          <w:bCs/>
          <w:color w:val="auto"/>
          <w:sz w:val="32"/>
          <w:szCs w:val="32"/>
          <w:highlight w:val="none"/>
        </w:rPr>
      </w:pPr>
      <w:r>
        <w:rPr>
          <w:rFonts w:hint="eastAsia" w:ascii="仿宋_GB2312" w:hAnsi="仿宋"/>
          <w:color w:val="auto"/>
          <w:sz w:val="32"/>
          <w:szCs w:val="32"/>
          <w:highlight w:val="none"/>
        </w:rPr>
        <w:t>（一）建设国家药物科技创新战略型平台，加强前沿基础研究；鼓励依法开展干细胞、人工智能医疗器械等临床前沿医疗技术研究；</w:t>
      </w:r>
      <w:r>
        <w:rPr>
          <w:rFonts w:hint="eastAsia" w:ascii="仿宋_GB2312" w:hAnsi="仿宋"/>
          <w:bCs/>
          <w:color w:val="auto"/>
          <w:sz w:val="32"/>
          <w:szCs w:val="32"/>
          <w:highlight w:val="none"/>
        </w:rPr>
        <w:t>围绕生命前沿技术、重大疾病防治关键技术等，开展医药健康联合攻关；</w:t>
      </w:r>
      <w:r>
        <w:rPr>
          <w:rFonts w:hint="eastAsia" w:ascii="仿宋_GB2312" w:hAnsi="仿宋"/>
          <w:color w:val="auto"/>
          <w:sz w:val="32"/>
          <w:szCs w:val="32"/>
          <w:highlight w:val="none"/>
        </w:rPr>
        <w:t>支持鼓励医疗机构与区内生物医药企业建立联合实验室；</w:t>
      </w:r>
    </w:p>
    <w:p>
      <w:pPr>
        <w:snapToGrid w:val="0"/>
        <w:spacing w:line="560" w:lineRule="exact"/>
        <w:ind w:firstLine="640" w:firstLineChars="200"/>
        <w:rPr>
          <w:rFonts w:ascii="仿宋_GB2312" w:hAnsi="仿宋"/>
          <w:color w:val="auto"/>
          <w:sz w:val="32"/>
          <w:szCs w:val="32"/>
          <w:highlight w:val="none"/>
        </w:rPr>
      </w:pPr>
      <w:r>
        <w:rPr>
          <w:rFonts w:hint="eastAsia" w:ascii="仿宋_GB2312" w:hAnsi="仿宋"/>
          <w:color w:val="auto"/>
          <w:sz w:val="32"/>
          <w:szCs w:val="32"/>
          <w:highlight w:val="none"/>
        </w:rPr>
        <w:t>（二）鼓励开展去中心化临床试验；探索建设研究型医院和研究型病房，加速医药研发成果孵化进程；</w:t>
      </w:r>
    </w:p>
    <w:p>
      <w:pPr>
        <w:snapToGrid w:val="0"/>
        <w:spacing w:line="560" w:lineRule="exact"/>
        <w:ind w:firstLine="640" w:firstLineChars="200"/>
        <w:rPr>
          <w:rFonts w:ascii="仿宋_GB2312" w:hAnsi="仿宋"/>
          <w:color w:val="auto"/>
          <w:sz w:val="32"/>
          <w:szCs w:val="32"/>
          <w:highlight w:val="none"/>
        </w:rPr>
      </w:pPr>
      <w:r>
        <w:rPr>
          <w:rFonts w:hint="eastAsia" w:ascii="仿宋_GB2312" w:hAnsi="仿宋"/>
          <w:color w:val="auto"/>
          <w:sz w:val="32"/>
          <w:szCs w:val="32"/>
          <w:highlight w:val="none"/>
        </w:rPr>
        <w:t>（三）引进医药健康产业领军企业，培育产业集群；推动中医药产业创新发展，支持中医药与新一代信息技术融合创新；</w:t>
      </w:r>
      <w:r>
        <w:rPr>
          <w:rFonts w:hint="eastAsia" w:ascii="仿宋_GB2312" w:hAnsi="仿宋"/>
          <w:color w:val="auto"/>
          <w:sz w:val="32"/>
          <w:szCs w:val="32"/>
          <w:highlight w:val="none"/>
          <w:lang w:eastAsia="zh-CN"/>
        </w:rPr>
        <w:t>促进</w:t>
      </w:r>
      <w:r>
        <w:rPr>
          <w:rFonts w:hint="eastAsia" w:ascii="仿宋_GB2312" w:hAnsi="仿宋"/>
          <w:color w:val="auto"/>
          <w:sz w:val="32"/>
          <w:szCs w:val="32"/>
          <w:highlight w:val="none"/>
        </w:rPr>
        <w:t>互联网医疗发展，鼓励医疗健康数据共建共享；</w:t>
      </w:r>
    </w:p>
    <w:p>
      <w:pPr>
        <w:snapToGrid w:val="0"/>
        <w:spacing w:line="560" w:lineRule="exact"/>
        <w:ind w:firstLine="640" w:firstLineChars="200"/>
        <w:rPr>
          <w:rFonts w:ascii="仿宋_GB2312" w:hAnsi="仿宋"/>
          <w:color w:val="auto"/>
          <w:sz w:val="32"/>
          <w:szCs w:val="32"/>
          <w:highlight w:val="none"/>
        </w:rPr>
      </w:pPr>
      <w:r>
        <w:rPr>
          <w:rFonts w:hint="eastAsia" w:ascii="仿宋_GB2312" w:hAnsi="仿宋"/>
          <w:color w:val="auto"/>
          <w:sz w:val="32"/>
          <w:szCs w:val="32"/>
          <w:highlight w:val="none"/>
        </w:rPr>
        <w:t>（四）优化急需药品、医疗器械和研发用材料试剂、设备、无特定病原体及无菌实验动物等通关和审评审批流程，依法放宽医药研发用小剂量特殊化学制剂的管理；对区内社会办医机构乙类大型医用设备购置实行备案制；鼓励药品医疗器械技术创新，构建医药健康协同创新体系，促进成果转化；</w:t>
      </w:r>
    </w:p>
    <w:p>
      <w:pPr>
        <w:snapToGrid w:val="0"/>
        <w:spacing w:line="560" w:lineRule="exact"/>
        <w:ind w:firstLine="640" w:firstLineChars="200"/>
        <w:rPr>
          <w:rFonts w:ascii="仿宋_GB2312" w:hAnsi="仿宋"/>
          <w:color w:val="auto"/>
          <w:sz w:val="32"/>
          <w:szCs w:val="32"/>
          <w:highlight w:val="none"/>
        </w:rPr>
      </w:pPr>
      <w:r>
        <w:rPr>
          <w:rFonts w:hint="eastAsia" w:ascii="仿宋_GB2312" w:hAnsi="仿宋"/>
          <w:color w:val="auto"/>
          <w:sz w:val="32"/>
          <w:szCs w:val="32"/>
          <w:highlight w:val="none"/>
        </w:rPr>
        <w:t>（五）支持医疗机构加强国际合作，开展跨境远程医疗；便利企业开展医药国际研发合作创新；优化人类遗传资源管理流程，服务医药研发国际合作；</w:t>
      </w:r>
    </w:p>
    <w:p>
      <w:pPr>
        <w:snapToGrid w:val="0"/>
        <w:spacing w:line="560" w:lineRule="exact"/>
        <w:ind w:firstLine="640" w:firstLineChars="200"/>
        <w:rPr>
          <w:rFonts w:hint="eastAsia" w:ascii="仿宋_GB2312" w:hAnsi="仿宋"/>
          <w:color w:val="auto"/>
          <w:sz w:val="32"/>
          <w:szCs w:val="32"/>
          <w:highlight w:val="none"/>
        </w:rPr>
      </w:pPr>
      <w:r>
        <w:rPr>
          <w:rFonts w:hint="eastAsia" w:ascii="仿宋_GB2312" w:hAnsi="仿宋"/>
          <w:color w:val="auto"/>
          <w:sz w:val="32"/>
          <w:szCs w:val="32"/>
          <w:highlight w:val="none"/>
        </w:rPr>
        <w:t>（六）支持在区内规划建设国际医院，鼓励建设中小型高水平国际化诊所，提供高质量的国际化医疗服务。</w:t>
      </w:r>
    </w:p>
    <w:bookmarkEnd w:id="13"/>
    <w:p>
      <w:pPr>
        <w:pStyle w:val="13"/>
        <w:numPr>
          <w:ilvl w:val="0"/>
          <w:numId w:val="1"/>
        </w:numPr>
        <w:snapToGrid w:val="0"/>
        <w:spacing w:line="560" w:lineRule="exact"/>
        <w:ind w:firstLine="640"/>
        <w:rPr>
          <w:rFonts w:ascii="仿宋_GB2312" w:hAnsi="微软雅黑"/>
          <w:color w:val="auto"/>
          <w:sz w:val="22"/>
          <w:szCs w:val="20"/>
          <w:highlight w:val="none"/>
        </w:rPr>
      </w:pPr>
      <w:r>
        <w:rPr>
          <w:rFonts w:hint="eastAsia" w:ascii="仿宋_GB2312" w:hAnsi="仿宋"/>
          <w:color w:val="auto"/>
          <w:sz w:val="32"/>
          <w:szCs w:val="32"/>
          <w:highlight w:val="none"/>
        </w:rPr>
        <w:t>【专业服务开放】自贸试验区鼓励专业服务资源国际国内双向流动，采取以下措施促进专业服务开放：</w:t>
      </w:r>
    </w:p>
    <w:p>
      <w:pPr>
        <w:snapToGrid w:val="0"/>
        <w:spacing w:line="560" w:lineRule="exact"/>
        <w:ind w:firstLine="640" w:firstLineChars="200"/>
        <w:rPr>
          <w:rFonts w:ascii="仿宋_GB2312" w:hAnsi="微软雅黑"/>
          <w:color w:val="auto"/>
          <w:sz w:val="22"/>
          <w:highlight w:val="none"/>
        </w:rPr>
      </w:pPr>
      <w:r>
        <w:rPr>
          <w:rFonts w:hint="eastAsia" w:ascii="仿宋_GB2312" w:hAnsi="仿宋"/>
          <w:color w:val="auto"/>
          <w:sz w:val="32"/>
          <w:szCs w:val="32"/>
          <w:highlight w:val="none"/>
        </w:rPr>
        <w:t>（一）鼓励市场主体在区内设立会计、法律、咨询、广告、人力资源、资产评估、资信评级、建筑设计等领域专业服务机构；</w:t>
      </w:r>
      <w:r>
        <w:rPr>
          <w:rFonts w:ascii="仿宋_GB2312" w:hAnsi="微软雅黑"/>
          <w:color w:val="auto"/>
          <w:sz w:val="22"/>
          <w:highlight w:val="none"/>
        </w:rPr>
        <w:t xml:space="preserve"> </w:t>
      </w:r>
    </w:p>
    <w:p>
      <w:pPr>
        <w:snapToGrid w:val="0"/>
        <w:spacing w:line="560" w:lineRule="exact"/>
        <w:rPr>
          <w:rFonts w:ascii="仿宋_GB2312" w:hAnsi="仿宋"/>
          <w:color w:val="auto"/>
          <w:sz w:val="32"/>
          <w:szCs w:val="32"/>
          <w:highlight w:val="none"/>
        </w:rPr>
      </w:pPr>
      <w:r>
        <w:rPr>
          <w:rFonts w:hint="eastAsia" w:ascii="仿宋_GB2312" w:hAnsi="仿宋"/>
          <w:color w:val="auto"/>
          <w:sz w:val="32"/>
          <w:szCs w:val="32"/>
          <w:highlight w:val="none"/>
        </w:rPr>
        <w:t>允许境外知名仲裁及争议解决机构经登记备案，在区内设立业务机构，为国际商事、投资等领域民商事争议提供仲裁服务；</w:t>
      </w:r>
    </w:p>
    <w:p>
      <w:pPr>
        <w:snapToGrid w:val="0"/>
        <w:spacing w:line="560" w:lineRule="exact"/>
        <w:ind w:firstLine="640" w:firstLineChars="200"/>
        <w:rPr>
          <w:rFonts w:ascii="仿宋_GB2312" w:hAnsi="仿宋"/>
          <w:color w:val="auto"/>
          <w:sz w:val="32"/>
          <w:szCs w:val="32"/>
          <w:highlight w:val="none"/>
        </w:rPr>
      </w:pPr>
      <w:r>
        <w:rPr>
          <w:rFonts w:hint="eastAsia" w:ascii="仿宋_GB2312" w:hAnsi="仿宋"/>
          <w:color w:val="auto"/>
          <w:sz w:val="32"/>
          <w:szCs w:val="32"/>
          <w:highlight w:val="none"/>
        </w:rPr>
        <w:t>（二）鼓励区内会计、法律、咨询、广告、人力资源等专业服务机构拓展国际市场，以新设、并购、合作等方式发展涉外业务；支持专业服务机构依托对外基础设施建设、资源开发、对外援助等重大项目联合走出去，加强对企业境外经营风险防范的指导；</w:t>
      </w:r>
    </w:p>
    <w:p>
      <w:pPr>
        <w:snapToGrid w:val="0"/>
        <w:spacing w:line="560" w:lineRule="exact"/>
        <w:ind w:firstLine="640" w:firstLineChars="200"/>
        <w:rPr>
          <w:rFonts w:ascii="仿宋_GB2312" w:hAnsi="仿宋"/>
          <w:color w:val="auto"/>
          <w:sz w:val="32"/>
          <w:szCs w:val="32"/>
          <w:highlight w:val="none"/>
        </w:rPr>
      </w:pPr>
      <w:r>
        <w:rPr>
          <w:rFonts w:hint="eastAsia" w:ascii="仿宋_GB2312" w:hAnsi="仿宋"/>
          <w:color w:val="auto"/>
          <w:sz w:val="32"/>
          <w:szCs w:val="32"/>
          <w:highlight w:val="none"/>
        </w:rPr>
        <w:t>（三）支持境外与自贸试验区内专业服务机构共建联合体开展专业服务，建立跨领域多资质的综合性专业服务机制，共同开展项目合作和品牌交流，拓展双向合作模式；</w:t>
      </w:r>
    </w:p>
    <w:p>
      <w:pPr>
        <w:snapToGrid w:val="0"/>
        <w:spacing w:line="560" w:lineRule="exact"/>
        <w:ind w:firstLine="640" w:firstLineChars="200"/>
        <w:rPr>
          <w:rFonts w:ascii="仿宋_GB2312" w:hAnsi="仿宋"/>
          <w:color w:val="auto"/>
          <w:sz w:val="32"/>
          <w:szCs w:val="32"/>
          <w:highlight w:val="none"/>
        </w:rPr>
      </w:pPr>
      <w:r>
        <w:rPr>
          <w:rFonts w:hint="eastAsia" w:ascii="仿宋_GB2312" w:hAnsi="仿宋"/>
          <w:color w:val="auto"/>
          <w:sz w:val="32"/>
          <w:szCs w:val="32"/>
          <w:highlight w:val="none"/>
        </w:rPr>
        <w:t>（四）支持符合条件的区域建设专业服务综合示范区，推动专业服务企业集聚，提供全流程专业服务。</w:t>
      </w:r>
    </w:p>
    <w:p>
      <w:pPr>
        <w:pStyle w:val="13"/>
        <w:numPr>
          <w:ilvl w:val="0"/>
          <w:numId w:val="1"/>
        </w:numPr>
        <w:snapToGrid w:val="0"/>
        <w:spacing w:line="560" w:lineRule="exact"/>
        <w:ind w:firstLine="640"/>
        <w:rPr>
          <w:rFonts w:ascii="仿宋_GB2312" w:hAnsi="微软雅黑"/>
          <w:color w:val="auto"/>
          <w:sz w:val="22"/>
          <w:highlight w:val="none"/>
        </w:rPr>
      </w:pPr>
      <w:r>
        <w:rPr>
          <w:rFonts w:hint="eastAsia" w:ascii="仿宋_GB2312" w:hAnsi="仿宋"/>
          <w:color w:val="auto"/>
          <w:sz w:val="32"/>
          <w:szCs w:val="32"/>
          <w:highlight w:val="none"/>
        </w:rPr>
        <w:t>【提升教育领域开放水平】自贸试验区加大国际教育供给，引进优质教育资源，采取以下措施提升教育领域开放水平：</w:t>
      </w:r>
    </w:p>
    <w:p>
      <w:pPr>
        <w:snapToGrid w:val="0"/>
        <w:spacing w:line="560" w:lineRule="exact"/>
        <w:ind w:firstLine="640" w:firstLineChars="200"/>
        <w:rPr>
          <w:rFonts w:ascii="仿宋_GB2312" w:hAnsi="仿宋"/>
          <w:color w:val="auto"/>
          <w:sz w:val="32"/>
          <w:szCs w:val="32"/>
          <w:highlight w:val="none"/>
        </w:rPr>
      </w:pPr>
      <w:r>
        <w:rPr>
          <w:rFonts w:hint="eastAsia" w:ascii="仿宋_GB2312" w:hAnsi="仿宋"/>
          <w:color w:val="auto"/>
          <w:sz w:val="32"/>
          <w:szCs w:val="32"/>
          <w:highlight w:val="none"/>
        </w:rPr>
        <w:t>（一）</w:t>
      </w:r>
      <w:r>
        <w:rPr>
          <w:rFonts w:hint="eastAsia" w:ascii="仿宋_GB2312"/>
          <w:bCs/>
          <w:color w:val="auto"/>
          <w:sz w:val="32"/>
          <w:szCs w:val="32"/>
          <w:highlight w:val="none"/>
        </w:rPr>
        <w:t>完善国际教育供给，优化国际学校布局，</w:t>
      </w:r>
      <w:r>
        <w:rPr>
          <w:rFonts w:hint="eastAsia" w:ascii="仿宋_GB2312" w:hAnsi="仿宋"/>
          <w:color w:val="auto"/>
          <w:sz w:val="32"/>
          <w:szCs w:val="32"/>
          <w:highlight w:val="none"/>
        </w:rPr>
        <w:t>允许区内中小学按国家有关规定接收外籍人员子女入学；</w:t>
      </w:r>
    </w:p>
    <w:p>
      <w:pPr>
        <w:snapToGrid w:val="0"/>
        <w:spacing w:line="560" w:lineRule="exact"/>
        <w:ind w:firstLine="640" w:firstLineChars="200"/>
        <w:rPr>
          <w:rFonts w:ascii="仿宋_GB2312" w:hAnsi="仿宋"/>
          <w:color w:val="auto"/>
          <w:sz w:val="32"/>
          <w:szCs w:val="32"/>
          <w:highlight w:val="none"/>
        </w:rPr>
      </w:pPr>
      <w:r>
        <w:rPr>
          <w:rFonts w:hint="eastAsia" w:ascii="仿宋_GB2312" w:hAnsi="仿宋"/>
          <w:color w:val="auto"/>
          <w:sz w:val="32"/>
          <w:szCs w:val="32"/>
          <w:highlight w:val="none"/>
        </w:rPr>
        <w:t>（二）鼓励引入国外优质教育资源，支持区内高等学校与国际知名高等学校举办高水平合作办学项目；</w:t>
      </w:r>
    </w:p>
    <w:p>
      <w:pPr>
        <w:snapToGrid w:val="0"/>
        <w:spacing w:line="560" w:lineRule="exact"/>
        <w:ind w:firstLine="640" w:firstLineChars="200"/>
        <w:rPr>
          <w:rFonts w:ascii="仿宋_GB2312" w:hAnsi="华文仿宋"/>
          <w:color w:val="auto"/>
          <w:sz w:val="32"/>
          <w:szCs w:val="32"/>
          <w:highlight w:val="none"/>
        </w:rPr>
      </w:pPr>
      <w:r>
        <w:rPr>
          <w:rFonts w:hint="eastAsia" w:ascii="仿宋_GB2312" w:hAnsi="仿宋"/>
          <w:color w:val="auto"/>
          <w:sz w:val="32"/>
          <w:szCs w:val="32"/>
          <w:highlight w:val="none"/>
        </w:rPr>
        <w:t>（三）</w:t>
      </w:r>
      <w:r>
        <w:rPr>
          <w:rFonts w:hint="eastAsia" w:ascii="仿宋_GB2312" w:hAnsi="华文仿宋"/>
          <w:color w:val="auto"/>
          <w:sz w:val="32"/>
          <w:szCs w:val="32"/>
          <w:highlight w:val="none"/>
        </w:rPr>
        <w:t>支持开展职业教育国际合作示范项目，加强与国际知名企业合作，促进产教融合；</w:t>
      </w:r>
    </w:p>
    <w:p>
      <w:pPr>
        <w:snapToGrid w:val="0"/>
        <w:spacing w:line="560" w:lineRule="exact"/>
        <w:ind w:firstLine="640" w:firstLineChars="200"/>
        <w:rPr>
          <w:rFonts w:ascii="仿宋_GB2312" w:hAnsi="微软雅黑"/>
          <w:color w:val="auto"/>
          <w:sz w:val="22"/>
          <w:highlight w:val="none"/>
        </w:rPr>
      </w:pPr>
      <w:r>
        <w:rPr>
          <w:rFonts w:hint="eastAsia" w:ascii="仿宋_GB2312" w:hAnsi="华文仿宋"/>
          <w:color w:val="auto"/>
          <w:sz w:val="32"/>
          <w:szCs w:val="32"/>
          <w:highlight w:val="none"/>
        </w:rPr>
        <w:t>（四）</w:t>
      </w:r>
      <w:r>
        <w:rPr>
          <w:rFonts w:hint="eastAsia" w:ascii="仿宋_GB2312" w:hAnsi="仿宋"/>
          <w:color w:val="auto"/>
          <w:sz w:val="32"/>
          <w:szCs w:val="32"/>
          <w:highlight w:val="none"/>
        </w:rPr>
        <w:t>允许外商投资营利性非学历语言类培训机构；</w:t>
      </w:r>
    </w:p>
    <w:p>
      <w:pPr>
        <w:snapToGrid w:val="0"/>
        <w:spacing w:line="560" w:lineRule="exact"/>
        <w:ind w:firstLine="640" w:firstLineChars="200"/>
        <w:rPr>
          <w:rFonts w:ascii="仿宋_GB2312" w:hAnsi="微软雅黑"/>
          <w:color w:val="auto"/>
          <w:sz w:val="22"/>
          <w:highlight w:val="none"/>
        </w:rPr>
      </w:pPr>
      <w:r>
        <w:rPr>
          <w:rFonts w:hint="eastAsia" w:ascii="仿宋_GB2312" w:hAnsi="仿宋"/>
          <w:color w:val="auto"/>
          <w:sz w:val="32"/>
          <w:szCs w:val="32"/>
          <w:highlight w:val="none"/>
        </w:rPr>
        <w:t>（五）允许外商单独设立以中国公民为主要招生对象的经营性职业技能培训机构；</w:t>
      </w:r>
    </w:p>
    <w:p>
      <w:pPr>
        <w:snapToGrid w:val="0"/>
        <w:spacing w:line="560" w:lineRule="exact"/>
        <w:ind w:firstLine="640" w:firstLineChars="200"/>
        <w:rPr>
          <w:rFonts w:ascii="仿宋_GB2312" w:hAnsi="仿宋"/>
          <w:color w:val="auto"/>
          <w:sz w:val="32"/>
          <w:szCs w:val="32"/>
          <w:highlight w:val="none"/>
        </w:rPr>
      </w:pPr>
      <w:r>
        <w:rPr>
          <w:rFonts w:hint="eastAsia" w:ascii="仿宋_GB2312" w:hAnsi="仿宋"/>
          <w:color w:val="auto"/>
          <w:sz w:val="32"/>
          <w:szCs w:val="32"/>
          <w:highlight w:val="none"/>
        </w:rPr>
        <w:t>（六）允许外国留学生依法在自贸试验区内勤工助学。</w:t>
      </w:r>
    </w:p>
    <w:p>
      <w:pPr>
        <w:pStyle w:val="13"/>
        <w:numPr>
          <w:ilvl w:val="0"/>
          <w:numId w:val="1"/>
        </w:numPr>
        <w:snapToGrid w:val="0"/>
        <w:spacing w:line="560" w:lineRule="exact"/>
        <w:ind w:firstLine="640"/>
        <w:rPr>
          <w:rFonts w:ascii="仿宋_GB2312" w:hAnsi="微软雅黑"/>
          <w:color w:val="auto"/>
          <w:sz w:val="22"/>
          <w:szCs w:val="32"/>
          <w:highlight w:val="none"/>
        </w:rPr>
      </w:pPr>
      <w:r>
        <w:rPr>
          <w:rFonts w:hint="eastAsia" w:ascii="仿宋_GB2312" w:hAnsi="仿宋"/>
          <w:color w:val="auto"/>
          <w:sz w:val="32"/>
          <w:szCs w:val="32"/>
          <w:highlight w:val="none"/>
        </w:rPr>
        <w:t>【商业开放】自贸试验区鼓励发展会展经济、首店经济、首发经济。拓展中医旅游、文化娱乐、国际赛事、时尚设计等服务消费供给，推动体验消费、智能消费等商品消费模式创新，</w:t>
      </w:r>
      <w:r>
        <w:rPr>
          <w:rFonts w:hint="eastAsia" w:ascii="仿宋_GB2312" w:hAnsi="仿宋"/>
          <w:color w:val="auto"/>
          <w:sz w:val="32"/>
          <w:szCs w:val="32"/>
          <w:highlight w:val="none"/>
          <w:lang w:eastAsia="zh-CN"/>
        </w:rPr>
        <w:t>培育消费新增长点，</w:t>
      </w:r>
      <w:r>
        <w:rPr>
          <w:rFonts w:hint="eastAsia" w:ascii="仿宋_GB2312" w:hAnsi="仿宋"/>
          <w:color w:val="auto"/>
          <w:sz w:val="32"/>
          <w:szCs w:val="32"/>
          <w:highlight w:val="none"/>
        </w:rPr>
        <w:t>优化提升消费环境。推动跨境电子商务持续创新发展</w:t>
      </w:r>
      <w:r>
        <w:rPr>
          <w:rFonts w:ascii="仿宋_GB2312" w:hAnsi="仿宋"/>
          <w:color w:val="auto"/>
          <w:sz w:val="32"/>
          <w:szCs w:val="32"/>
          <w:highlight w:val="none"/>
        </w:rPr>
        <w:t>,</w:t>
      </w:r>
      <w:r>
        <w:rPr>
          <w:rFonts w:hint="eastAsia" w:ascii="仿宋_GB2312" w:hAnsi="仿宋"/>
          <w:color w:val="auto"/>
          <w:sz w:val="32"/>
          <w:szCs w:val="32"/>
          <w:highlight w:val="none"/>
        </w:rPr>
        <w:t>拓宽消费品进口渠道。</w:t>
      </w:r>
      <w:r>
        <w:rPr>
          <w:rFonts w:hint="eastAsia" w:ascii="仿宋_GB2312" w:hAnsi="仿宋"/>
          <w:color w:val="auto"/>
          <w:sz w:val="32"/>
          <w:szCs w:val="32"/>
          <w:highlight w:val="none"/>
          <w:lang w:eastAsia="zh-CN"/>
        </w:rPr>
        <w:t>鼓励流通企业创新发展，加强特色经营和精细化服务，提高竞争力。</w:t>
      </w:r>
    </w:p>
    <w:p>
      <w:pPr>
        <w:pStyle w:val="13"/>
        <w:numPr>
          <w:ilvl w:val="0"/>
          <w:numId w:val="1"/>
        </w:numPr>
        <w:snapToGrid w:val="0"/>
        <w:spacing w:line="560" w:lineRule="exact"/>
        <w:ind w:firstLine="640"/>
        <w:rPr>
          <w:rFonts w:ascii="仿宋_GB2312" w:hAnsi="微软雅黑"/>
          <w:color w:val="auto"/>
          <w:sz w:val="22"/>
          <w:highlight w:val="none"/>
        </w:rPr>
      </w:pPr>
      <w:r>
        <w:rPr>
          <w:rFonts w:hint="eastAsia" w:ascii="仿宋_GB2312" w:hAnsi="仿宋"/>
          <w:color w:val="auto"/>
          <w:sz w:val="32"/>
          <w:szCs w:val="32"/>
          <w:highlight w:val="none"/>
        </w:rPr>
        <w:t>【文旅产业开放】自贸试验区鼓励网络视听、网络游戏、数字音乐等新兴文化业态发展，推动国家文化出口基地建设，加强文化信息、创意设计、游戏和动漫版权、数字影视等领域文化贸易发展。创新文化艺术品和文物进口保税贸易发展模式，实施入境便利化管理，创新优化免担保模式。鼓励在区内举办国际文化、旅游交流活动，建设交流平台，推动与友好城市交流</w:t>
      </w:r>
      <w:r>
        <w:rPr>
          <w:color w:val="auto"/>
          <w:highlight w:val="none"/>
        </w:rPr>
        <w:fldChar w:fldCharType="begin"/>
      </w:r>
      <w:r>
        <w:rPr>
          <w:color w:val="auto"/>
          <w:highlight w:val="none"/>
        </w:rPr>
        <w:instrText xml:space="preserve"> HYPERLINK </w:instrText>
      </w:r>
      <w:r>
        <w:rPr>
          <w:color w:val="auto"/>
          <w:highlight w:val="none"/>
        </w:rPr>
        <w:fldChar w:fldCharType="separate"/>
      </w:r>
      <w:r>
        <w:rPr>
          <w:rFonts w:hint="eastAsia" w:ascii="仿宋_GB2312" w:hAnsi="仿宋"/>
          <w:color w:val="auto"/>
          <w:sz w:val="32"/>
          <w:szCs w:val="32"/>
          <w:highlight w:val="none"/>
        </w:rPr>
        <w:t>互鉴</w:t>
      </w:r>
      <w:r>
        <w:rPr>
          <w:rFonts w:hint="eastAsia" w:ascii="仿宋_GB2312" w:hAnsi="仿宋"/>
          <w:color w:val="auto"/>
          <w:sz w:val="32"/>
          <w:szCs w:val="32"/>
          <w:highlight w:val="none"/>
        </w:rPr>
        <w:fldChar w:fldCharType="end"/>
      </w:r>
      <w:r>
        <w:rPr>
          <w:rFonts w:hint="eastAsia" w:ascii="仿宋_GB2312" w:hAnsi="仿宋"/>
          <w:color w:val="auto"/>
          <w:sz w:val="32"/>
          <w:szCs w:val="32"/>
          <w:highlight w:val="none"/>
        </w:rPr>
        <w:t>。</w:t>
      </w:r>
    </w:p>
    <w:p>
      <w:pPr>
        <w:pStyle w:val="13"/>
        <w:numPr>
          <w:ilvl w:val="0"/>
          <w:numId w:val="1"/>
        </w:numPr>
        <w:snapToGrid w:val="0"/>
        <w:spacing w:line="560" w:lineRule="exact"/>
        <w:ind w:firstLine="640"/>
        <w:rPr>
          <w:rFonts w:ascii="仿宋_GB2312" w:hAnsi="微软雅黑"/>
          <w:color w:val="auto"/>
          <w:sz w:val="22"/>
          <w:szCs w:val="20"/>
          <w:highlight w:val="none"/>
        </w:rPr>
      </w:pPr>
      <w:r>
        <w:rPr>
          <w:rFonts w:hint="eastAsia" w:ascii="仿宋_GB2312" w:hAnsi="仿宋"/>
          <w:color w:val="auto"/>
          <w:sz w:val="32"/>
          <w:szCs w:val="32"/>
          <w:highlight w:val="none"/>
        </w:rPr>
        <w:t>【航空服务开放】自贸试验区鼓励发展航空维修、航空金融等航空产业。鼓励在自贸试验区特定区域开展航空维修业务，建立与国际标准相衔接的航材共享和航材维修制度，优化航材保税监管，实施飞机维修企业航空器材包修转包修理业务口岸便利化措施，提升航空维修国际竞争力。支持自贸试验区开展飞机融资租赁业务，重点发展</w:t>
      </w:r>
      <w:r>
        <w:rPr>
          <w:rFonts w:hint="eastAsia" w:ascii="仿宋_GB2312" w:hAnsi="宋体" w:cs="仿宋_GB2312"/>
          <w:color w:val="auto"/>
          <w:kern w:val="0"/>
          <w:sz w:val="32"/>
          <w:szCs w:val="32"/>
          <w:highlight w:val="none"/>
        </w:rPr>
        <w:t>货运飞机保税租赁，</w:t>
      </w:r>
      <w:r>
        <w:rPr>
          <w:rFonts w:hint="eastAsia" w:ascii="仿宋_GB2312" w:hAnsi="仿宋"/>
          <w:color w:val="auto"/>
          <w:sz w:val="32"/>
          <w:szCs w:val="32"/>
          <w:highlight w:val="none"/>
        </w:rPr>
        <w:t>允许飞机跨境租赁实行海关异地监管模式。</w:t>
      </w:r>
    </w:p>
    <w:p>
      <w:pPr>
        <w:pStyle w:val="13"/>
        <w:snapToGrid w:val="0"/>
        <w:spacing w:line="560" w:lineRule="exact"/>
        <w:ind w:left="440" w:firstLine="0" w:firstLineChars="0"/>
        <w:rPr>
          <w:rFonts w:ascii="仿宋_GB2312" w:hAnsi="微软雅黑"/>
          <w:color w:val="auto"/>
          <w:sz w:val="22"/>
          <w:highlight w:val="none"/>
        </w:rPr>
      </w:pPr>
    </w:p>
    <w:p>
      <w:pPr>
        <w:pStyle w:val="2"/>
        <w:spacing w:line="560" w:lineRule="exact"/>
        <w:rPr>
          <w:rFonts w:hAnsi="微软雅黑"/>
          <w:color w:val="auto"/>
          <w:highlight w:val="none"/>
        </w:rPr>
      </w:pPr>
      <w:bookmarkStart w:id="14" w:name="_Toc79312590"/>
      <w:r>
        <w:rPr>
          <w:rFonts w:hint="eastAsia"/>
          <w:color w:val="auto"/>
          <w:highlight w:val="none"/>
        </w:rPr>
        <w:t>第八章 京津冀协同</w:t>
      </w:r>
      <w:bookmarkEnd w:id="14"/>
    </w:p>
    <w:p>
      <w:pPr>
        <w:pStyle w:val="13"/>
        <w:numPr>
          <w:ilvl w:val="0"/>
          <w:numId w:val="1"/>
        </w:numPr>
        <w:snapToGrid w:val="0"/>
        <w:spacing w:line="560" w:lineRule="exact"/>
        <w:ind w:firstLine="640"/>
        <w:rPr>
          <w:rFonts w:ascii="仿宋_GB2312" w:hAnsi="微软雅黑"/>
          <w:color w:val="auto"/>
          <w:sz w:val="22"/>
          <w:highlight w:val="none"/>
        </w:rPr>
      </w:pPr>
      <w:r>
        <w:rPr>
          <w:rFonts w:hint="eastAsia" w:ascii="仿宋_GB2312" w:hAnsi="仿宋"/>
          <w:color w:val="auto"/>
          <w:sz w:val="32"/>
          <w:szCs w:val="32"/>
          <w:highlight w:val="none"/>
        </w:rPr>
        <w:t>【协同合作目标】本市落实京津冀协同发展战略，与津冀自贸试验区建立合作机制，联合开展制度创新，深化产业链协同发展，推动形成统一开放市场，建设京津冀协同发展的高水平对外开放平台。</w:t>
      </w:r>
    </w:p>
    <w:p>
      <w:pPr>
        <w:pStyle w:val="13"/>
        <w:numPr>
          <w:ilvl w:val="0"/>
          <w:numId w:val="1"/>
        </w:numPr>
        <w:snapToGrid w:val="0"/>
        <w:spacing w:line="560" w:lineRule="exact"/>
        <w:ind w:firstLine="640"/>
        <w:rPr>
          <w:rFonts w:ascii="仿宋_GB2312" w:hAnsi="微软雅黑"/>
          <w:color w:val="auto"/>
          <w:sz w:val="22"/>
          <w:highlight w:val="none"/>
        </w:rPr>
      </w:pPr>
      <w:r>
        <w:rPr>
          <w:rFonts w:hint="eastAsia" w:ascii="仿宋_GB2312" w:hAnsi="仿宋"/>
          <w:color w:val="auto"/>
          <w:sz w:val="32"/>
          <w:szCs w:val="32"/>
          <w:highlight w:val="none"/>
        </w:rPr>
        <w:t>【产业链协同发展】自贸试验区鼓励创新跨区域产业合作方式，深化与津冀产业链协同，建设京津冀产业合作新平台。</w:t>
      </w:r>
    </w:p>
    <w:p>
      <w:pPr>
        <w:pStyle w:val="13"/>
        <w:numPr>
          <w:ilvl w:val="0"/>
          <w:numId w:val="1"/>
        </w:numPr>
        <w:snapToGrid w:val="0"/>
        <w:spacing w:line="560" w:lineRule="exact"/>
        <w:ind w:firstLine="640"/>
        <w:rPr>
          <w:rFonts w:ascii="仿宋_GB2312" w:hAnsi="微软雅黑"/>
          <w:color w:val="auto"/>
          <w:sz w:val="22"/>
          <w:highlight w:val="none"/>
        </w:rPr>
      </w:pPr>
      <w:r>
        <w:rPr>
          <w:rFonts w:hint="eastAsia" w:ascii="仿宋_GB2312" w:hAnsi="仿宋"/>
          <w:color w:val="auto"/>
          <w:sz w:val="32"/>
          <w:szCs w:val="32"/>
          <w:highlight w:val="none"/>
        </w:rPr>
        <w:t>【要素流动】自贸试验区加强与津冀自贸试验区技术市场融通合作，联合开展知识产权保护，便利人才跨区域自由流动。推动政务、金融、物流等数据信息共享共用，健全京津冀自贸试验区联合授信机制，畅通三地资金融通渠道，形成京津冀自贸试验区统一开放市场。</w:t>
      </w:r>
    </w:p>
    <w:p>
      <w:pPr>
        <w:pStyle w:val="13"/>
        <w:numPr>
          <w:ilvl w:val="0"/>
          <w:numId w:val="1"/>
        </w:numPr>
        <w:snapToGrid w:val="0"/>
        <w:spacing w:line="560" w:lineRule="exact"/>
        <w:ind w:firstLine="640"/>
        <w:rPr>
          <w:rFonts w:ascii="仿宋_GB2312" w:hAnsi="微软雅黑"/>
          <w:color w:val="auto"/>
          <w:sz w:val="22"/>
          <w:highlight w:val="none"/>
        </w:rPr>
      </w:pPr>
      <w:r>
        <w:rPr>
          <w:rFonts w:hint="eastAsia" w:ascii="仿宋_GB2312" w:hAnsi="仿宋"/>
          <w:color w:val="auto"/>
          <w:sz w:val="32"/>
          <w:szCs w:val="32"/>
          <w:highlight w:val="none"/>
        </w:rPr>
        <w:t>【共同参与“一带一路”建设】自贸试验区联合津冀自贸试验区参与“一带一路”建设，坚持稳妥有序原则，共建、共享境内外合作园区。</w:t>
      </w:r>
    </w:p>
    <w:p>
      <w:pPr>
        <w:pStyle w:val="13"/>
        <w:numPr>
          <w:ilvl w:val="0"/>
          <w:numId w:val="1"/>
        </w:numPr>
        <w:snapToGrid w:val="0"/>
        <w:spacing w:line="560" w:lineRule="exact"/>
        <w:ind w:firstLine="640"/>
        <w:rPr>
          <w:rFonts w:ascii="仿宋_GB2312" w:hAnsi="微软雅黑"/>
          <w:color w:val="auto"/>
          <w:sz w:val="22"/>
          <w:highlight w:val="none"/>
        </w:rPr>
      </w:pPr>
      <w:r>
        <w:rPr>
          <w:rFonts w:hint="eastAsia" w:ascii="仿宋_GB2312" w:hAnsi="仿宋"/>
          <w:color w:val="auto"/>
          <w:sz w:val="32"/>
          <w:szCs w:val="32"/>
          <w:highlight w:val="none"/>
        </w:rPr>
        <w:t>【政务服务一体化】自贸试验区推进与津冀自贸试验区</w:t>
      </w:r>
      <w:bookmarkStart w:id="15" w:name="_Hlk80566156"/>
      <w:r>
        <w:rPr>
          <w:rFonts w:hint="eastAsia" w:ascii="仿宋_GB2312" w:hAnsi="仿宋"/>
          <w:color w:val="auto"/>
          <w:sz w:val="32"/>
          <w:szCs w:val="32"/>
          <w:highlight w:val="none"/>
        </w:rPr>
        <w:t>政务服务同事同标</w:t>
      </w:r>
      <w:bookmarkEnd w:id="15"/>
      <w:r>
        <w:rPr>
          <w:rFonts w:hint="eastAsia" w:ascii="仿宋_GB2312" w:hAnsi="仿宋"/>
          <w:color w:val="auto"/>
          <w:sz w:val="32"/>
          <w:szCs w:val="32"/>
          <w:highlight w:val="none"/>
        </w:rPr>
        <w:t>，逐步实现京津冀自贸试验区政务服务事项标准互认、办理结果互认。自贸试验区推动建立京津冀相互授权机制，实现政务服务</w:t>
      </w:r>
      <w:bookmarkStart w:id="16" w:name="_Hlk80566171"/>
      <w:r>
        <w:rPr>
          <w:rFonts w:hint="eastAsia" w:ascii="仿宋_GB2312" w:hAnsi="仿宋"/>
          <w:color w:val="auto"/>
          <w:sz w:val="32"/>
          <w:szCs w:val="32"/>
          <w:highlight w:val="none"/>
        </w:rPr>
        <w:t>跨区域通办</w:t>
      </w:r>
      <w:bookmarkEnd w:id="16"/>
      <w:r>
        <w:rPr>
          <w:rFonts w:hint="eastAsia" w:ascii="仿宋_GB2312" w:hAnsi="仿宋"/>
          <w:color w:val="auto"/>
          <w:sz w:val="32"/>
          <w:szCs w:val="32"/>
          <w:highlight w:val="none"/>
        </w:rPr>
        <w:t>。</w:t>
      </w:r>
    </w:p>
    <w:p>
      <w:pPr>
        <w:pStyle w:val="13"/>
        <w:numPr>
          <w:ilvl w:val="0"/>
          <w:numId w:val="1"/>
        </w:numPr>
        <w:snapToGrid w:val="0"/>
        <w:spacing w:line="560" w:lineRule="exact"/>
        <w:ind w:firstLine="640"/>
        <w:rPr>
          <w:rFonts w:ascii="仿宋_GB2312" w:hAnsi="微软雅黑"/>
          <w:color w:val="auto"/>
          <w:sz w:val="22"/>
          <w:highlight w:val="none"/>
        </w:rPr>
      </w:pPr>
      <w:r>
        <w:rPr>
          <w:rFonts w:hint="eastAsia" w:ascii="仿宋_GB2312" w:hAnsi="仿宋"/>
          <w:color w:val="auto"/>
          <w:sz w:val="32"/>
          <w:szCs w:val="32"/>
          <w:highlight w:val="none"/>
        </w:rPr>
        <w:t>【区域产业合作】自贸试验区支持高端产业片区大兴区域与中国（河北）自由贸易试验区大兴机场片区统筹谋划、一体建设，在医药研发、科技会展、航空物流、航空维修等重点领域，探索跨区域产业合作模式，实现创新联动、优势互补。</w:t>
      </w:r>
      <w:bookmarkStart w:id="17" w:name="_Toc79312591"/>
    </w:p>
    <w:p>
      <w:pPr>
        <w:spacing w:line="560" w:lineRule="exact"/>
        <w:rPr>
          <w:color w:val="auto"/>
          <w:highlight w:val="none"/>
        </w:rPr>
      </w:pPr>
    </w:p>
    <w:p>
      <w:pPr>
        <w:pStyle w:val="2"/>
        <w:spacing w:line="560" w:lineRule="exact"/>
        <w:rPr>
          <w:rFonts w:hAnsi="微软雅黑"/>
          <w:color w:val="auto"/>
          <w:highlight w:val="none"/>
        </w:rPr>
      </w:pPr>
      <w:r>
        <w:rPr>
          <w:rFonts w:hint="eastAsia"/>
          <w:color w:val="auto"/>
          <w:highlight w:val="none"/>
        </w:rPr>
        <w:t>第九章 政府服务与保障</w:t>
      </w:r>
    </w:p>
    <w:bookmarkEnd w:id="17"/>
    <w:p>
      <w:pPr>
        <w:pStyle w:val="13"/>
        <w:numPr>
          <w:ilvl w:val="0"/>
          <w:numId w:val="1"/>
        </w:numPr>
        <w:snapToGrid w:val="0"/>
        <w:spacing w:line="560" w:lineRule="exact"/>
        <w:ind w:firstLine="640"/>
        <w:rPr>
          <w:rFonts w:ascii="仿宋_GB2312" w:hAnsi="微软雅黑"/>
          <w:color w:val="auto"/>
          <w:sz w:val="22"/>
          <w:highlight w:val="none"/>
        </w:rPr>
      </w:pPr>
      <w:r>
        <w:rPr>
          <w:rFonts w:hint="eastAsia" w:ascii="仿宋_GB2312" w:hAnsi="仿宋"/>
          <w:color w:val="auto"/>
          <w:sz w:val="32"/>
          <w:szCs w:val="32"/>
          <w:highlight w:val="none"/>
        </w:rPr>
        <w:t>【优化政府服务】自贸试验区持续深化简政放权、放管结合、优化服务，坚持转变政府职能，建设国际一流营商环境，强化多元化法治保障，健全开放型风险防范体系，科学统筹开放和安全。</w:t>
      </w:r>
    </w:p>
    <w:p>
      <w:pPr>
        <w:pStyle w:val="13"/>
        <w:numPr>
          <w:ilvl w:val="0"/>
          <w:numId w:val="1"/>
        </w:numPr>
        <w:snapToGrid w:val="0"/>
        <w:spacing w:line="560" w:lineRule="exact"/>
        <w:ind w:firstLine="640"/>
        <w:rPr>
          <w:rFonts w:ascii="仿宋_GB2312" w:hAnsi="微软雅黑"/>
          <w:color w:val="auto"/>
          <w:sz w:val="22"/>
          <w:highlight w:val="none"/>
        </w:rPr>
      </w:pPr>
      <w:r>
        <w:rPr>
          <w:rFonts w:hint="eastAsia" w:ascii="仿宋_GB2312" w:hAnsi="仿宋"/>
          <w:color w:val="auto"/>
          <w:sz w:val="32"/>
          <w:szCs w:val="32"/>
          <w:highlight w:val="none"/>
        </w:rPr>
        <w:t>【相对集中行政许可权试点】在自贸试验区具备条件的区域探索实施相对集中行政许可权试点，由一个部门统一受理行政许可申请。</w:t>
      </w:r>
    </w:p>
    <w:p>
      <w:pPr>
        <w:pStyle w:val="13"/>
        <w:numPr>
          <w:ilvl w:val="0"/>
          <w:numId w:val="1"/>
        </w:numPr>
        <w:snapToGrid w:val="0"/>
        <w:spacing w:line="560" w:lineRule="exact"/>
        <w:ind w:firstLine="640"/>
        <w:rPr>
          <w:rFonts w:ascii="仿宋_GB2312" w:hAnsi="微软雅黑"/>
          <w:color w:val="auto"/>
          <w:sz w:val="22"/>
          <w:highlight w:val="none"/>
        </w:rPr>
      </w:pPr>
      <w:r>
        <w:rPr>
          <w:rFonts w:hint="eastAsia" w:ascii="仿宋_GB2312" w:hAnsi="仿宋"/>
          <w:color w:val="auto"/>
          <w:sz w:val="32"/>
          <w:szCs w:val="32"/>
          <w:highlight w:val="none"/>
        </w:rPr>
        <w:t>【涉企经营许可事项改革】自贸试验区深化证照分离改革，全面落实涉企经营许可事项改革清单，推动政府管理事前</w:t>
      </w:r>
      <w:r>
        <w:rPr>
          <w:rFonts w:ascii="仿宋_GB2312" w:hAnsi="仿宋"/>
          <w:color w:val="auto"/>
          <w:sz w:val="32"/>
          <w:szCs w:val="32"/>
          <w:highlight w:val="none"/>
        </w:rPr>
        <w:t>审批向</w:t>
      </w:r>
      <w:r>
        <w:rPr>
          <w:rFonts w:hint="eastAsia" w:ascii="仿宋_GB2312" w:hAnsi="仿宋"/>
          <w:color w:val="auto"/>
          <w:sz w:val="32"/>
          <w:szCs w:val="32"/>
          <w:highlight w:val="none"/>
        </w:rPr>
        <w:t>事中事后监管转变。鼓励在自贸试验区进一步探索涉企经营许可事项分类改革，在更大范围、更多行业简化审批，激发市场主体发展活力。</w:t>
      </w:r>
    </w:p>
    <w:p>
      <w:pPr>
        <w:pStyle w:val="13"/>
        <w:numPr>
          <w:ilvl w:val="0"/>
          <w:numId w:val="1"/>
        </w:numPr>
        <w:snapToGrid w:val="0"/>
        <w:spacing w:line="560" w:lineRule="exact"/>
        <w:ind w:firstLine="640"/>
        <w:rPr>
          <w:rFonts w:ascii="仿宋_GB2312" w:hAnsi="微软雅黑"/>
          <w:color w:val="auto"/>
          <w:sz w:val="22"/>
          <w:highlight w:val="none"/>
        </w:rPr>
      </w:pPr>
      <w:r>
        <w:rPr>
          <w:rFonts w:hint="eastAsia" w:ascii="仿宋_GB2312" w:hAnsi="仿宋"/>
          <w:color w:val="auto"/>
          <w:sz w:val="32"/>
          <w:szCs w:val="32"/>
          <w:highlight w:val="none"/>
        </w:rPr>
        <w:t>【推进审批改革】</w:t>
      </w:r>
      <w:r>
        <w:rPr>
          <w:rFonts w:hint="eastAsia" w:ascii="仿宋_GB2312"/>
          <w:color w:val="auto"/>
          <w:sz w:val="32"/>
          <w:szCs w:val="32"/>
          <w:highlight w:val="none"/>
        </w:rPr>
        <w:t>自贸试验区在确保公共安全的基础上，依据国家授权，对市场准入及准入后管理中具有强制性标准的领域，探索实行告知承诺审批、备案管理等方式。</w:t>
      </w:r>
    </w:p>
    <w:p>
      <w:pPr>
        <w:pStyle w:val="13"/>
        <w:numPr>
          <w:ilvl w:val="0"/>
          <w:numId w:val="1"/>
        </w:numPr>
        <w:snapToGrid w:val="0"/>
        <w:spacing w:line="560" w:lineRule="exact"/>
        <w:ind w:firstLine="640"/>
        <w:rPr>
          <w:rFonts w:ascii="仿宋_GB2312" w:hAnsi="微软雅黑"/>
          <w:color w:val="auto"/>
          <w:sz w:val="22"/>
          <w:highlight w:val="none"/>
        </w:rPr>
      </w:pPr>
      <w:r>
        <w:rPr>
          <w:rFonts w:hint="eastAsia" w:ascii="仿宋_GB2312" w:hAnsi="仿宋"/>
          <w:color w:val="auto"/>
          <w:sz w:val="32"/>
          <w:szCs w:val="32"/>
          <w:highlight w:val="none"/>
        </w:rPr>
        <w:t>【一业一证改革】自贸试验区在部分行业实施行业综合许可制度改革，完善改革事项清单动态管理机制。将一个行业经营涉及的多项行政许可整合为一项行业综合行政许可，统一记载相关行政许可信息。市场主体凭行业综合许可证即可开展相关经营活动，并逐步实现跨地互认通用。</w:t>
      </w:r>
    </w:p>
    <w:p>
      <w:pPr>
        <w:pStyle w:val="13"/>
        <w:numPr>
          <w:ilvl w:val="0"/>
          <w:numId w:val="1"/>
        </w:numPr>
        <w:snapToGrid w:val="0"/>
        <w:spacing w:line="560" w:lineRule="exact"/>
        <w:ind w:firstLine="640"/>
        <w:rPr>
          <w:rFonts w:ascii="仿宋_GB2312" w:hAnsi="仿宋"/>
          <w:color w:val="auto"/>
          <w:sz w:val="32"/>
          <w:szCs w:val="32"/>
          <w:highlight w:val="none"/>
        </w:rPr>
      </w:pPr>
      <w:r>
        <w:rPr>
          <w:rFonts w:hint="eastAsia" w:ascii="仿宋_GB2312" w:hAnsi="仿宋"/>
          <w:color w:val="auto"/>
          <w:sz w:val="32"/>
          <w:szCs w:val="32"/>
          <w:highlight w:val="none"/>
        </w:rPr>
        <w:t>【创新监管】自贸试验区探索行业综合监管模式，实施以信用为基础的分级分类监管机制，坚持线上线下一体化监管原则，健全监管规则，创新监管方式，完善事中事后监管。率先在重点行业领域探索实施新技术、新产业、新业态、新模式包容审慎监管。</w:t>
      </w:r>
    </w:p>
    <w:p>
      <w:pPr>
        <w:pStyle w:val="13"/>
        <w:numPr>
          <w:ilvl w:val="0"/>
          <w:numId w:val="1"/>
        </w:numPr>
        <w:snapToGrid w:val="0"/>
        <w:spacing w:line="560" w:lineRule="exact"/>
        <w:ind w:firstLine="640"/>
        <w:rPr>
          <w:rFonts w:ascii="仿宋_GB2312" w:hAnsi="微软雅黑"/>
          <w:color w:val="auto"/>
          <w:sz w:val="22"/>
          <w:highlight w:val="none"/>
        </w:rPr>
      </w:pPr>
      <w:r>
        <w:rPr>
          <w:rFonts w:hint="eastAsia" w:ascii="仿宋_GB2312" w:hAnsi="仿宋"/>
          <w:color w:val="auto"/>
          <w:sz w:val="32"/>
          <w:szCs w:val="32"/>
          <w:highlight w:val="none"/>
        </w:rPr>
        <w:t>【企业投资项目改革】自贸试验区深化投资审批制度改革，对于土地开发共性事项采取区域统一技术评估模式，建立工业及服务业产业以标准地出让方式供地制度，拓展投资项目告知承诺的审批事项范围，为企业提供市场化全流程综合服务。</w:t>
      </w:r>
    </w:p>
    <w:p>
      <w:pPr>
        <w:pStyle w:val="13"/>
        <w:numPr>
          <w:ilvl w:val="0"/>
          <w:numId w:val="1"/>
        </w:numPr>
        <w:spacing w:line="560" w:lineRule="exact"/>
        <w:ind w:firstLine="640"/>
        <w:rPr>
          <w:rFonts w:ascii="仿宋_GB2312" w:hAnsi="仿宋"/>
          <w:color w:val="auto"/>
          <w:sz w:val="32"/>
          <w:szCs w:val="32"/>
          <w:highlight w:val="none"/>
        </w:rPr>
      </w:pPr>
      <w:r>
        <w:rPr>
          <w:rFonts w:hint="eastAsia" w:ascii="仿宋_GB2312" w:hAnsi="仿宋"/>
          <w:color w:val="auto"/>
          <w:sz w:val="32"/>
          <w:szCs w:val="32"/>
          <w:highlight w:val="none"/>
        </w:rPr>
        <w:t>【用地模式】自贸试验区按照国土空间规划和用途管制要求，探索实施综合用地模式和实行产业链供地。推行长期租赁、先租后让、租让结合、弹性年期等供地方式。</w:t>
      </w:r>
    </w:p>
    <w:p>
      <w:pPr>
        <w:spacing w:line="560" w:lineRule="exact"/>
        <w:ind w:firstLine="640" w:firstLineChars="200"/>
        <w:rPr>
          <w:rFonts w:ascii="仿宋_GB2312" w:hAnsi="仿宋"/>
          <w:color w:val="auto"/>
          <w:sz w:val="32"/>
          <w:szCs w:val="32"/>
          <w:highlight w:val="none"/>
        </w:rPr>
      </w:pPr>
      <w:r>
        <w:rPr>
          <w:rFonts w:hint="eastAsia" w:ascii="仿宋_GB2312" w:hAnsi="仿宋_GB2312" w:cs="仿宋_GB2312"/>
          <w:color w:val="auto"/>
          <w:sz w:val="32"/>
          <w:szCs w:val="32"/>
          <w:highlight w:val="none"/>
        </w:rPr>
        <w:t>具备条件的自贸试验区区域管理机构，在区域内建筑规模总量可控和不同用地功能比例不变的前提下，依规按程序报请审批后，可根据企业产业落地需要，调整不同用地功能。</w:t>
      </w:r>
    </w:p>
    <w:p>
      <w:pPr>
        <w:pStyle w:val="13"/>
        <w:numPr>
          <w:ilvl w:val="0"/>
          <w:numId w:val="1"/>
        </w:numPr>
        <w:snapToGrid w:val="0"/>
        <w:spacing w:line="560" w:lineRule="exact"/>
        <w:ind w:firstLine="640"/>
        <w:rPr>
          <w:rFonts w:ascii="仿宋_GB2312" w:hAnsi="微软雅黑"/>
          <w:color w:val="auto"/>
          <w:sz w:val="22"/>
          <w:highlight w:val="none"/>
        </w:rPr>
      </w:pPr>
      <w:r>
        <w:rPr>
          <w:rFonts w:hint="eastAsia" w:ascii="仿宋_GB2312" w:hAnsi="仿宋"/>
          <w:color w:val="auto"/>
          <w:sz w:val="32"/>
          <w:szCs w:val="32"/>
          <w:highlight w:val="none"/>
        </w:rPr>
        <w:t>【财力保障机制】本市建立自贸试验区财力保障机制，提升自贸试验区发展动力。</w:t>
      </w:r>
    </w:p>
    <w:p>
      <w:pPr>
        <w:snapToGrid w:val="0"/>
        <w:spacing w:line="560" w:lineRule="exact"/>
        <w:ind w:firstLine="640" w:firstLineChars="200"/>
        <w:rPr>
          <w:rFonts w:ascii="仿宋_GB2312" w:hAnsi="微软雅黑"/>
          <w:color w:val="auto"/>
          <w:sz w:val="22"/>
          <w:highlight w:val="none"/>
        </w:rPr>
      </w:pPr>
      <w:r>
        <w:rPr>
          <w:rFonts w:hint="eastAsia" w:ascii="仿宋_GB2312" w:hAnsi="仿宋"/>
          <w:color w:val="auto"/>
          <w:sz w:val="32"/>
          <w:szCs w:val="32"/>
          <w:highlight w:val="none"/>
        </w:rPr>
        <w:t>（一）结合各区域发展实际，市、区政府进一步统筹资金，加大对自贸试验区的支持力度；</w:t>
      </w:r>
    </w:p>
    <w:p>
      <w:pPr>
        <w:spacing w:line="560" w:lineRule="exact"/>
        <w:ind w:firstLine="660"/>
        <w:rPr>
          <w:rFonts w:ascii="仿宋_GB2312" w:hAnsi="微软雅黑"/>
          <w:color w:val="auto"/>
          <w:sz w:val="22"/>
          <w:highlight w:val="none"/>
        </w:rPr>
      </w:pPr>
      <w:r>
        <w:rPr>
          <w:rFonts w:hint="eastAsia" w:ascii="仿宋_GB2312" w:hAnsi="仿宋"/>
          <w:color w:val="auto"/>
          <w:sz w:val="32"/>
          <w:szCs w:val="32"/>
          <w:highlight w:val="none"/>
        </w:rPr>
        <w:t>（二）</w:t>
      </w:r>
      <w:r>
        <w:rPr>
          <w:rFonts w:hint="eastAsia" w:ascii="仿宋_GB2312"/>
          <w:color w:val="auto"/>
          <w:sz w:val="32"/>
          <w:szCs w:val="32"/>
          <w:highlight w:val="none"/>
        </w:rPr>
        <w:t>充分</w:t>
      </w:r>
      <w:r>
        <w:rPr>
          <w:rFonts w:ascii="仿宋_GB2312"/>
          <w:color w:val="auto"/>
          <w:sz w:val="32"/>
          <w:szCs w:val="32"/>
          <w:highlight w:val="none"/>
        </w:rPr>
        <w:t>发挥本市高精尖资金、科技资金的引导作用，</w:t>
      </w:r>
      <w:r>
        <w:rPr>
          <w:rFonts w:hint="eastAsia" w:ascii="仿宋_GB2312"/>
          <w:color w:val="auto"/>
          <w:sz w:val="32"/>
          <w:szCs w:val="32"/>
          <w:highlight w:val="none"/>
        </w:rPr>
        <w:t>对符合条件的自贸试验区项目给予支持，</w:t>
      </w:r>
      <w:r>
        <w:rPr>
          <w:rFonts w:ascii="仿宋_GB2312"/>
          <w:color w:val="auto"/>
          <w:sz w:val="32"/>
          <w:szCs w:val="32"/>
          <w:highlight w:val="none"/>
        </w:rPr>
        <w:t>建立政府投资基金和市场化产业投资基金支持重点产业项目的协调联动工作机制</w:t>
      </w:r>
      <w:r>
        <w:rPr>
          <w:rFonts w:hint="eastAsia" w:ascii="仿宋_GB2312"/>
          <w:color w:val="auto"/>
          <w:sz w:val="32"/>
          <w:szCs w:val="32"/>
          <w:highlight w:val="none"/>
        </w:rPr>
        <w:t>；</w:t>
      </w:r>
    </w:p>
    <w:p>
      <w:pPr>
        <w:snapToGrid w:val="0"/>
        <w:spacing w:line="560" w:lineRule="exact"/>
        <w:ind w:firstLine="640" w:firstLineChars="200"/>
        <w:rPr>
          <w:rFonts w:ascii="仿宋_GB2312" w:hAnsi="微软雅黑"/>
          <w:color w:val="auto"/>
          <w:sz w:val="22"/>
          <w:highlight w:val="none"/>
        </w:rPr>
      </w:pPr>
      <w:r>
        <w:rPr>
          <w:rFonts w:hint="eastAsia" w:ascii="仿宋_GB2312" w:hAnsi="仿宋"/>
          <w:color w:val="auto"/>
          <w:sz w:val="32"/>
          <w:szCs w:val="32"/>
          <w:highlight w:val="none"/>
        </w:rPr>
        <w:t>（三）</w:t>
      </w:r>
      <w:r>
        <w:rPr>
          <w:rFonts w:hint="eastAsia" w:ascii="仿宋_GB2312" w:hAnsi="仿宋"/>
          <w:color w:val="auto"/>
          <w:sz w:val="32"/>
          <w:szCs w:val="32"/>
          <w:highlight w:val="none"/>
          <w:lang w:eastAsia="zh-CN"/>
        </w:rPr>
        <w:t>需要通过政府债券资金支持、并符合债务管理要求的基础设施和公益性项目，优先纳入发债计划予以保障。</w:t>
      </w:r>
    </w:p>
    <w:p>
      <w:pPr>
        <w:pStyle w:val="13"/>
        <w:numPr>
          <w:ilvl w:val="0"/>
          <w:numId w:val="1"/>
        </w:numPr>
        <w:snapToGrid w:val="0"/>
        <w:spacing w:line="560" w:lineRule="exact"/>
        <w:ind w:firstLine="640"/>
        <w:rPr>
          <w:rFonts w:ascii="仿宋_GB2312" w:hAnsi="微软雅黑"/>
          <w:color w:val="auto"/>
          <w:sz w:val="22"/>
          <w:highlight w:val="none"/>
        </w:rPr>
      </w:pPr>
      <w:r>
        <w:rPr>
          <w:rFonts w:hint="eastAsia" w:ascii="仿宋_GB2312" w:hAnsi="仿宋"/>
          <w:color w:val="auto"/>
          <w:sz w:val="32"/>
          <w:szCs w:val="32"/>
          <w:highlight w:val="none"/>
        </w:rPr>
        <w:t>【区域联动和利益共享】根据本市规定，为企业跨区域迁移提供便利。探索建立自贸试验区新设企业与项目区域联动和利益共享机制。</w:t>
      </w:r>
    </w:p>
    <w:p>
      <w:pPr>
        <w:pStyle w:val="13"/>
        <w:numPr>
          <w:ilvl w:val="0"/>
          <w:numId w:val="1"/>
        </w:numPr>
        <w:snapToGrid w:val="0"/>
        <w:spacing w:line="560" w:lineRule="exact"/>
        <w:ind w:firstLine="640"/>
        <w:rPr>
          <w:rFonts w:ascii="仿宋_GB2312" w:hAnsi="微软雅黑"/>
          <w:color w:val="auto"/>
          <w:sz w:val="22"/>
          <w:highlight w:val="none"/>
        </w:rPr>
      </w:pPr>
      <w:r>
        <w:rPr>
          <w:rFonts w:hint="eastAsia" w:ascii="仿宋_GB2312" w:hAnsi="仿宋"/>
          <w:color w:val="auto"/>
          <w:sz w:val="32"/>
          <w:szCs w:val="32"/>
          <w:highlight w:val="none"/>
        </w:rPr>
        <w:t>【税收优惠】自贸试验区按规定落实个人、企业等各项税收优惠政策。</w:t>
      </w:r>
    </w:p>
    <w:p>
      <w:pPr>
        <w:pStyle w:val="13"/>
        <w:numPr>
          <w:ilvl w:val="0"/>
          <w:numId w:val="1"/>
        </w:numPr>
        <w:snapToGrid w:val="0"/>
        <w:spacing w:line="560" w:lineRule="exact"/>
        <w:ind w:firstLine="640"/>
        <w:rPr>
          <w:rFonts w:ascii="仿宋_GB2312" w:hAnsi="微软雅黑"/>
          <w:color w:val="auto"/>
          <w:sz w:val="22"/>
          <w:highlight w:val="none"/>
        </w:rPr>
      </w:pPr>
      <w:r>
        <w:rPr>
          <w:rFonts w:hint="eastAsia" w:ascii="仿宋_GB2312" w:hAnsi="仿宋"/>
          <w:color w:val="auto"/>
          <w:sz w:val="32"/>
          <w:szCs w:val="32"/>
          <w:highlight w:val="none"/>
        </w:rPr>
        <w:t>【构建多元化纠纷解决机制】自贸试验区推行公证、调解、仲裁、行政裁决、行政复议、诉讼等有机衔接、相互协调的多元化纠纷解决机制。加强国际商事纠纷一站式多元解纷中心建设，为自贸试验区企业提供司法保障。支持国际商事争端预防与解决组织在自贸试验区内设立运营。</w:t>
      </w:r>
      <w:r>
        <w:rPr>
          <w:rFonts w:hint="eastAsia" w:ascii="仿宋_GB2312" w:hAnsi="仿宋"/>
          <w:color w:val="auto"/>
          <w:sz w:val="32"/>
          <w:szCs w:val="32"/>
          <w:highlight w:val="none"/>
        </w:rPr>
        <w:tab/>
      </w:r>
    </w:p>
    <w:p>
      <w:pPr>
        <w:pStyle w:val="13"/>
        <w:numPr>
          <w:ilvl w:val="0"/>
          <w:numId w:val="1"/>
        </w:numPr>
        <w:snapToGrid w:val="0"/>
        <w:spacing w:line="560" w:lineRule="exact"/>
        <w:ind w:firstLine="640"/>
        <w:rPr>
          <w:rFonts w:ascii="仿宋_GB2312" w:hAnsi="微软雅黑"/>
          <w:color w:val="auto"/>
          <w:sz w:val="22"/>
          <w:szCs w:val="22"/>
          <w:highlight w:val="none"/>
        </w:rPr>
      </w:pPr>
      <w:r>
        <w:rPr>
          <w:rFonts w:hint="eastAsia" w:ascii="仿宋_GB2312" w:hAnsi="仿宋"/>
          <w:color w:val="auto"/>
          <w:sz w:val="32"/>
          <w:szCs w:val="32"/>
          <w:highlight w:val="none"/>
        </w:rPr>
        <w:t>【</w:t>
      </w:r>
      <w:r>
        <w:rPr>
          <w:rFonts w:hint="eastAsia" w:ascii="仿宋_GB2312" w:hAnsi="仿宋"/>
          <w:color w:val="auto"/>
          <w:sz w:val="32"/>
          <w:szCs w:val="32"/>
          <w:highlight w:val="none"/>
          <w:lang w:eastAsia="zh-CN"/>
        </w:rPr>
        <w:t>风险防范体系</w:t>
      </w:r>
      <w:r>
        <w:rPr>
          <w:rFonts w:hint="eastAsia" w:ascii="仿宋_GB2312" w:hAnsi="仿宋"/>
          <w:color w:val="auto"/>
          <w:sz w:val="32"/>
          <w:szCs w:val="32"/>
          <w:highlight w:val="none"/>
        </w:rPr>
        <w:t>】自贸试验区健全开放型经济风险防范体系。在投资、贸易、网络、生物安全、生态环境、文化安全、人员进出、反恐反分裂、公共道德等重点领域，落实外商投资安全审查制度，完善反垄断审查、行业管理、用户认证、行为审计等管理措施。依托信息技术创新风险研判和风险防控手段，建立联防联控机制。</w:t>
      </w:r>
    </w:p>
    <w:p>
      <w:pPr>
        <w:pStyle w:val="13"/>
        <w:snapToGrid w:val="0"/>
        <w:spacing w:line="560" w:lineRule="exact"/>
        <w:ind w:firstLineChars="0"/>
        <w:rPr>
          <w:rFonts w:hint="eastAsia" w:ascii="仿宋_GB2312" w:hAnsi="微软雅黑"/>
          <w:color w:val="auto"/>
          <w:sz w:val="22"/>
          <w:highlight w:val="none"/>
        </w:rPr>
      </w:pPr>
    </w:p>
    <w:p>
      <w:pPr>
        <w:pStyle w:val="2"/>
        <w:spacing w:line="560" w:lineRule="exact"/>
        <w:rPr>
          <w:color w:val="auto"/>
          <w:highlight w:val="none"/>
        </w:rPr>
      </w:pPr>
      <w:bookmarkStart w:id="18" w:name="_Toc79312592"/>
      <w:r>
        <w:rPr>
          <w:rFonts w:hint="eastAsia"/>
          <w:color w:val="auto"/>
          <w:highlight w:val="none"/>
        </w:rPr>
        <w:t>第十章 人才保障</w:t>
      </w:r>
      <w:bookmarkEnd w:id="18"/>
    </w:p>
    <w:p>
      <w:pPr>
        <w:pStyle w:val="13"/>
        <w:numPr>
          <w:ilvl w:val="0"/>
          <w:numId w:val="1"/>
        </w:numPr>
        <w:snapToGrid w:val="0"/>
        <w:spacing w:line="560" w:lineRule="exact"/>
        <w:ind w:firstLine="640"/>
        <w:rPr>
          <w:rFonts w:ascii="仿宋_GB2312" w:hAnsi="微软雅黑"/>
          <w:color w:val="auto"/>
          <w:sz w:val="22"/>
          <w:highlight w:val="none"/>
        </w:rPr>
      </w:pPr>
      <w:r>
        <w:rPr>
          <w:rFonts w:hint="eastAsia" w:ascii="仿宋_GB2312" w:hAnsi="仿宋"/>
          <w:color w:val="auto"/>
          <w:sz w:val="32"/>
          <w:szCs w:val="32"/>
          <w:highlight w:val="none"/>
        </w:rPr>
        <w:t>【优化人才保障】自贸试验区加快推进人才发展体制机制改革和政策创新，鼓励面向全球吸引人才，构建全流程人才服务体系。</w:t>
      </w:r>
    </w:p>
    <w:p>
      <w:pPr>
        <w:pStyle w:val="13"/>
        <w:numPr>
          <w:ilvl w:val="0"/>
          <w:numId w:val="1"/>
        </w:numPr>
        <w:snapToGrid w:val="0"/>
        <w:spacing w:line="560" w:lineRule="exact"/>
        <w:ind w:firstLine="640"/>
        <w:rPr>
          <w:rFonts w:ascii="仿宋_GB2312" w:hAnsi="微软雅黑"/>
          <w:color w:val="auto"/>
          <w:sz w:val="22"/>
          <w:highlight w:val="none"/>
        </w:rPr>
      </w:pPr>
      <w:r>
        <w:rPr>
          <w:rFonts w:hint="eastAsia" w:ascii="仿宋_GB2312" w:hAnsi="仿宋"/>
          <w:color w:val="auto"/>
          <w:sz w:val="32"/>
          <w:szCs w:val="32"/>
          <w:highlight w:val="none"/>
        </w:rPr>
        <w:t>【人才资历认定】自贸试验区实行更加开放的境外职业资格认可政策，建立过往资历认可机制，支持符合条件的</w:t>
      </w:r>
      <w:r>
        <w:rPr>
          <w:rFonts w:hint="eastAsia" w:ascii="仿宋_GB2312" w:hAnsi="仿宋"/>
          <w:color w:val="auto"/>
          <w:sz w:val="32"/>
          <w:szCs w:val="32"/>
          <w:highlight w:val="none"/>
          <w:lang w:eastAsia="zh-CN"/>
        </w:rPr>
        <w:t>具有</w:t>
      </w:r>
      <w:r>
        <w:rPr>
          <w:rFonts w:hint="eastAsia" w:ascii="仿宋_GB2312" w:hAnsi="仿宋"/>
          <w:color w:val="auto"/>
          <w:sz w:val="32"/>
          <w:szCs w:val="32"/>
          <w:highlight w:val="none"/>
        </w:rPr>
        <w:t>境外职业资格的专业人才在京从事专业服务，并在人才引进、工作许可、出入境等方面给予相应保障及便利。</w:t>
      </w:r>
    </w:p>
    <w:p>
      <w:pPr>
        <w:pStyle w:val="13"/>
        <w:numPr>
          <w:ilvl w:val="0"/>
          <w:numId w:val="1"/>
        </w:numPr>
        <w:snapToGrid w:val="0"/>
        <w:spacing w:line="560" w:lineRule="exact"/>
        <w:ind w:firstLine="640"/>
        <w:rPr>
          <w:rFonts w:ascii="仿宋_GB2312" w:hAnsi="仿宋"/>
          <w:color w:val="auto"/>
          <w:sz w:val="32"/>
          <w:szCs w:val="32"/>
          <w:highlight w:val="none"/>
        </w:rPr>
      </w:pPr>
      <w:r>
        <w:rPr>
          <w:rFonts w:hint="eastAsia" w:ascii="仿宋_GB2312" w:hAnsi="仿宋"/>
          <w:color w:val="auto"/>
          <w:sz w:val="32"/>
          <w:szCs w:val="32"/>
          <w:highlight w:val="none"/>
        </w:rPr>
        <w:t>【人才引进】本市加大对自贸试验区人才引进和落户支持力度，创新人才引进政策，支持区内重点企业、高等学校、科研机构面向全球引进急需紧缺人才。赋予区域管理机构区一级人才落户推荐权和申请受理权，赋予综合保税区管理机构工作居住证办理权。</w:t>
      </w:r>
    </w:p>
    <w:p>
      <w:pPr>
        <w:pStyle w:val="13"/>
        <w:numPr>
          <w:ilvl w:val="0"/>
          <w:numId w:val="1"/>
        </w:numPr>
        <w:snapToGrid w:val="0"/>
        <w:spacing w:line="560" w:lineRule="exact"/>
        <w:ind w:firstLine="640"/>
        <w:rPr>
          <w:rFonts w:ascii="仿宋_GB2312" w:hAnsi="微软雅黑"/>
          <w:color w:val="auto"/>
          <w:sz w:val="22"/>
          <w:highlight w:val="none"/>
        </w:rPr>
      </w:pPr>
      <w:r>
        <w:rPr>
          <w:rFonts w:hint="eastAsia" w:ascii="仿宋_GB2312" w:hAnsi="仿宋"/>
          <w:color w:val="auto"/>
          <w:sz w:val="32"/>
          <w:szCs w:val="32"/>
          <w:highlight w:val="none"/>
        </w:rPr>
        <w:t>【提升人才服务水平】自贸试验区为各类人才发展提供优质服务，提升人才服务水平：</w:t>
      </w:r>
    </w:p>
    <w:p>
      <w:pPr>
        <w:snapToGrid w:val="0"/>
        <w:spacing w:line="560" w:lineRule="exact"/>
        <w:ind w:firstLine="640" w:firstLineChars="200"/>
        <w:rPr>
          <w:rFonts w:ascii="仿宋_GB2312" w:hAnsi="微软雅黑"/>
          <w:color w:val="auto"/>
          <w:sz w:val="22"/>
          <w:highlight w:val="none"/>
        </w:rPr>
      </w:pPr>
      <w:r>
        <w:rPr>
          <w:rFonts w:hint="eastAsia" w:ascii="仿宋_GB2312" w:hAnsi="仿宋"/>
          <w:color w:val="auto"/>
          <w:sz w:val="32"/>
          <w:szCs w:val="32"/>
          <w:highlight w:val="none"/>
        </w:rPr>
        <w:t>（一）在自贸试验区内设立职能整合的一站式人才服务窗口和服务站点；</w:t>
      </w:r>
    </w:p>
    <w:p>
      <w:pPr>
        <w:snapToGrid w:val="0"/>
        <w:spacing w:line="560" w:lineRule="exact"/>
        <w:ind w:firstLine="640" w:firstLineChars="200"/>
        <w:rPr>
          <w:rFonts w:ascii="仿宋_GB2312" w:hAnsi="仿宋"/>
          <w:color w:val="auto"/>
          <w:sz w:val="32"/>
          <w:szCs w:val="32"/>
          <w:highlight w:val="none"/>
        </w:rPr>
      </w:pPr>
      <w:r>
        <w:rPr>
          <w:rFonts w:hint="eastAsia" w:ascii="仿宋_GB2312" w:hAnsi="仿宋"/>
          <w:color w:val="auto"/>
          <w:sz w:val="32"/>
          <w:szCs w:val="32"/>
          <w:highlight w:val="none"/>
        </w:rPr>
        <w:t>（二）优化外国人来华工作许可、居留许可审批流程，对符合条件的人才，申请办理证件时可以采取容缺受理方式；</w:t>
      </w:r>
    </w:p>
    <w:p>
      <w:pPr>
        <w:snapToGrid w:val="0"/>
        <w:spacing w:line="560" w:lineRule="exact"/>
        <w:ind w:firstLine="640" w:firstLineChars="200"/>
        <w:rPr>
          <w:rFonts w:ascii="仿宋_GB2312" w:hAnsi="微软雅黑"/>
          <w:color w:val="auto"/>
          <w:sz w:val="22"/>
          <w:highlight w:val="none"/>
        </w:rPr>
      </w:pPr>
      <w:r>
        <w:rPr>
          <w:rFonts w:hint="eastAsia" w:ascii="仿宋_GB2312" w:hAnsi="仿宋"/>
          <w:color w:val="auto"/>
          <w:sz w:val="32"/>
          <w:szCs w:val="32"/>
          <w:highlight w:val="none"/>
        </w:rPr>
        <w:t>（三）实行境外高端人才入出境和个人生活购汇结汇等便利措施；</w:t>
      </w:r>
    </w:p>
    <w:p>
      <w:pPr>
        <w:snapToGrid w:val="0"/>
        <w:spacing w:line="560" w:lineRule="exact"/>
        <w:ind w:firstLine="640" w:firstLineChars="200"/>
        <w:rPr>
          <w:rFonts w:ascii="仿宋_GB2312" w:hAnsi="仿宋"/>
          <w:color w:val="auto"/>
          <w:sz w:val="32"/>
          <w:szCs w:val="32"/>
          <w:highlight w:val="none"/>
        </w:rPr>
      </w:pPr>
      <w:r>
        <w:rPr>
          <w:rFonts w:hint="eastAsia" w:ascii="仿宋_GB2312" w:hAnsi="仿宋"/>
          <w:color w:val="auto"/>
          <w:sz w:val="32"/>
          <w:szCs w:val="32"/>
          <w:highlight w:val="none"/>
        </w:rPr>
        <w:t>（四）为符合条件的人才提供住房、子女教育、就医、档案管理、社会保险关系转移接续、职业教育培训、职称评定等方面的服务；</w:t>
      </w:r>
    </w:p>
    <w:p>
      <w:pPr>
        <w:snapToGrid w:val="0"/>
        <w:spacing w:line="560" w:lineRule="exact"/>
        <w:ind w:firstLine="640" w:firstLineChars="200"/>
        <w:rPr>
          <w:rFonts w:ascii="仿宋_GB2312" w:hAnsi="仿宋"/>
          <w:color w:val="auto"/>
          <w:sz w:val="32"/>
          <w:szCs w:val="32"/>
          <w:highlight w:val="none"/>
        </w:rPr>
      </w:pPr>
      <w:r>
        <w:rPr>
          <w:rFonts w:hint="eastAsia" w:ascii="仿宋_GB2312" w:hAnsi="仿宋"/>
          <w:color w:val="auto"/>
          <w:sz w:val="32"/>
          <w:szCs w:val="32"/>
          <w:highlight w:val="none"/>
        </w:rPr>
        <w:t>（五）优化非标准就业形式下人才的劳动保障服务。</w:t>
      </w:r>
    </w:p>
    <w:p>
      <w:pPr>
        <w:pStyle w:val="13"/>
        <w:numPr>
          <w:ilvl w:val="0"/>
          <w:numId w:val="1"/>
        </w:numPr>
        <w:snapToGrid w:val="0"/>
        <w:spacing w:line="560" w:lineRule="exact"/>
        <w:ind w:firstLine="640"/>
        <w:rPr>
          <w:rFonts w:ascii="仿宋_GB2312" w:hAnsi="微软雅黑"/>
          <w:color w:val="auto"/>
          <w:sz w:val="22"/>
          <w:highlight w:val="none"/>
        </w:rPr>
      </w:pPr>
      <w:r>
        <w:rPr>
          <w:rFonts w:hint="eastAsia" w:ascii="仿宋_GB2312" w:hAnsi="仿宋"/>
          <w:color w:val="auto"/>
          <w:sz w:val="32"/>
          <w:szCs w:val="32"/>
          <w:highlight w:val="none"/>
        </w:rPr>
        <w:t>【鼓励人才创新创业】自贸试验区鼓励人才在区内从业、创业，充分激发人才创新创业活力。区域管理机构和有关部门引导支持区内单位和个人举办或参与创业交流论坛、峰会等活动，建立人才创新创业服务平台。</w:t>
      </w:r>
    </w:p>
    <w:p>
      <w:pPr>
        <w:pStyle w:val="13"/>
        <w:numPr>
          <w:ilvl w:val="0"/>
          <w:numId w:val="1"/>
        </w:numPr>
        <w:snapToGrid w:val="0"/>
        <w:spacing w:line="560" w:lineRule="exact"/>
        <w:ind w:firstLine="640"/>
        <w:rPr>
          <w:rFonts w:ascii="仿宋_GB2312" w:hAnsi="微软雅黑"/>
          <w:color w:val="auto"/>
          <w:sz w:val="22"/>
          <w:szCs w:val="22"/>
          <w:highlight w:val="none"/>
        </w:rPr>
      </w:pPr>
      <w:r>
        <w:rPr>
          <w:rFonts w:hint="eastAsia" w:ascii="仿宋_GB2312" w:hAnsi="仿宋"/>
          <w:color w:val="auto"/>
          <w:sz w:val="32"/>
          <w:szCs w:val="32"/>
          <w:highlight w:val="none"/>
        </w:rPr>
        <w:t>【增强用工灵活性】自贸试验区增强企业劳动用工的灵活性，放宽劳务派遣比例限制，扩大劳务派遣员工使用范围。区内企业可以根据用工需求，通过劳务派遣方式引进研发中心研发岗位临时性人员。</w:t>
      </w:r>
    </w:p>
    <w:p>
      <w:pPr>
        <w:pStyle w:val="13"/>
        <w:snapToGrid w:val="0"/>
        <w:spacing w:line="560" w:lineRule="exact"/>
        <w:ind w:firstLineChars="0"/>
        <w:rPr>
          <w:rFonts w:ascii="仿宋_GB2312" w:hAnsi="微软雅黑"/>
          <w:color w:val="auto"/>
          <w:sz w:val="22"/>
          <w:highlight w:val="none"/>
        </w:rPr>
      </w:pPr>
    </w:p>
    <w:p>
      <w:pPr>
        <w:pStyle w:val="2"/>
        <w:spacing w:line="560" w:lineRule="exact"/>
        <w:rPr>
          <w:color w:val="auto"/>
          <w:highlight w:val="none"/>
        </w:rPr>
      </w:pPr>
      <w:bookmarkStart w:id="19" w:name="_Toc79312593"/>
      <w:r>
        <w:rPr>
          <w:rFonts w:hint="eastAsia"/>
          <w:color w:val="auto"/>
          <w:highlight w:val="none"/>
        </w:rPr>
        <w:t>第十一章 附则</w:t>
      </w:r>
      <w:bookmarkEnd w:id="19"/>
    </w:p>
    <w:p>
      <w:pPr>
        <w:pStyle w:val="13"/>
        <w:numPr>
          <w:ilvl w:val="0"/>
          <w:numId w:val="1"/>
        </w:numPr>
        <w:snapToGrid w:val="0"/>
        <w:spacing w:line="560" w:lineRule="exact"/>
        <w:ind w:firstLine="640"/>
        <w:rPr>
          <w:rFonts w:ascii="仿宋_GB2312" w:hAnsi="微软雅黑"/>
          <w:color w:val="auto"/>
          <w:sz w:val="22"/>
          <w:highlight w:val="none"/>
        </w:rPr>
      </w:pPr>
      <w:r>
        <w:rPr>
          <w:rFonts w:hint="eastAsia" w:ascii="仿宋_GB2312" w:hAnsi="仿宋"/>
          <w:color w:val="auto"/>
          <w:sz w:val="32"/>
          <w:szCs w:val="32"/>
          <w:highlight w:val="none"/>
        </w:rPr>
        <w:t>【参照执行】中国（河北）自由贸易试验区大兴机场片区（北京区域）9.97平方公里参照本条例执行，对于与《中国（河北）自由贸易试验区总体方案》不一致的，按照《中国（河北）自由贸易试验区总体方案》执行。</w:t>
      </w:r>
    </w:p>
    <w:p>
      <w:pPr>
        <w:pStyle w:val="13"/>
        <w:numPr>
          <w:ilvl w:val="0"/>
          <w:numId w:val="1"/>
        </w:numPr>
        <w:snapToGrid w:val="0"/>
        <w:spacing w:line="560" w:lineRule="exact"/>
        <w:ind w:firstLine="640"/>
        <w:rPr>
          <w:rFonts w:ascii="仿宋_GB2312" w:hAnsi="微软雅黑"/>
          <w:color w:val="auto"/>
          <w:sz w:val="22"/>
          <w:highlight w:val="none"/>
        </w:rPr>
      </w:pPr>
      <w:r>
        <w:rPr>
          <w:rFonts w:hint="eastAsia" w:ascii="仿宋_GB2312" w:hAnsi="仿宋"/>
          <w:color w:val="auto"/>
          <w:sz w:val="32"/>
          <w:szCs w:val="32"/>
          <w:highlight w:val="none"/>
        </w:rPr>
        <w:t>【中央事权】对属于中央事权的有关事项，按程序报批后实施。</w:t>
      </w:r>
    </w:p>
    <w:p>
      <w:pPr>
        <w:pStyle w:val="13"/>
        <w:numPr>
          <w:ilvl w:val="0"/>
          <w:numId w:val="1"/>
        </w:numPr>
        <w:snapToGrid w:val="0"/>
        <w:spacing w:line="560" w:lineRule="exact"/>
        <w:ind w:firstLine="640"/>
        <w:rPr>
          <w:rFonts w:ascii="仿宋_GB2312" w:hAnsi="微软雅黑"/>
          <w:color w:val="auto"/>
          <w:sz w:val="22"/>
          <w:highlight w:val="none"/>
        </w:rPr>
      </w:pPr>
      <w:r>
        <w:rPr>
          <w:rFonts w:hint="eastAsia" w:ascii="仿宋_GB2312" w:hAnsi="仿宋"/>
          <w:color w:val="auto"/>
          <w:sz w:val="32"/>
          <w:szCs w:val="32"/>
          <w:highlight w:val="none"/>
        </w:rPr>
        <w:t xml:space="preserve">【生效日期】本条例自年 </w:t>
      </w:r>
      <w:r>
        <w:rPr>
          <w:rFonts w:cs="Calibri"/>
          <w:color w:val="auto"/>
          <w:sz w:val="32"/>
          <w:szCs w:val="32"/>
          <w:highlight w:val="none"/>
        </w:rPr>
        <w:t> </w:t>
      </w:r>
      <w:r>
        <w:rPr>
          <w:rFonts w:hint="eastAsia" w:ascii="仿宋_GB2312" w:hAnsi="仿宋"/>
          <w:color w:val="auto"/>
          <w:sz w:val="32"/>
          <w:szCs w:val="32"/>
          <w:highlight w:val="none"/>
        </w:rPr>
        <w:t xml:space="preserve">月 </w:t>
      </w:r>
      <w:r>
        <w:rPr>
          <w:rFonts w:cs="Calibri"/>
          <w:color w:val="auto"/>
          <w:sz w:val="32"/>
          <w:szCs w:val="32"/>
          <w:highlight w:val="none"/>
        </w:rPr>
        <w:t> </w:t>
      </w:r>
      <w:r>
        <w:rPr>
          <w:rFonts w:hint="eastAsia" w:ascii="仿宋_GB2312" w:hAnsi="仿宋"/>
          <w:color w:val="auto"/>
          <w:sz w:val="32"/>
          <w:szCs w:val="32"/>
          <w:highlight w:val="none"/>
        </w:rPr>
        <w:t>日起施行。</w:t>
      </w:r>
    </w:p>
    <w:sectPr>
      <w:headerReference r:id="rId3" w:type="default"/>
      <w:footerReference r:id="rId5" w:type="default"/>
      <w:headerReference r:id="rId4" w:type="even"/>
      <w:footerReference r:id="rId6" w:type="even"/>
      <w:pgSz w:w="11906" w:h="16838"/>
      <w:pgMar w:top="2098" w:right="1474" w:bottom="1985"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Cambria">
    <w:altName w:val="Noto Sans Syriac Eastern"/>
    <w:panose1 w:val="02040503050406030204"/>
    <w:charset w:val="00"/>
    <w:family w:val="auto"/>
    <w:pitch w:val="default"/>
    <w:sig w:usb0="00000000" w:usb1="00000000" w:usb2="00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微软雅黑">
    <w:altName w:val="方正黑体_GBK"/>
    <w:panose1 w:val="020B0503020204020204"/>
    <w:charset w:val="86"/>
    <w:family w:val="auto"/>
    <w:pitch w:val="default"/>
    <w:sig w:usb0="00000000" w:usb1="00000000" w:usb2="00000016" w:usb3="00000000" w:csb0="0004001F" w:csb1="00000000"/>
  </w:font>
  <w:font w:name="仿宋">
    <w:altName w:val="方正仿宋_GBK"/>
    <w:panose1 w:val="02010609060101010101"/>
    <w:charset w:val="86"/>
    <w:family w:val="auto"/>
    <w:pitch w:val="default"/>
    <w:sig w:usb0="00000000" w:usb1="00000000" w:usb2="00000016" w:usb3="00000000" w:csb0="00040001" w:csb1="00000000"/>
  </w:font>
  <w:font w:name="华文仿宋">
    <w:altName w:val="汉仪仿宋简"/>
    <w:panose1 w:val="00000000000000000000"/>
    <w:charset w:val="86"/>
    <w:family w:val="auto"/>
    <w:pitch w:val="default"/>
    <w:sig w:usb0="00000000" w:usb1="00000000" w:usb2="00000010" w:usb3="00000000" w:csb0="000400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Microsoft YaHei">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汉仪仿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t>- 1 -</w:t>
    </w:r>
    <w:r>
      <w:rPr>
        <w:rFonts w:ascii="宋体" w:hAnsi="宋体" w:eastAsia="宋体"/>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t>- 2 -</w:t>
    </w:r>
    <w:r>
      <w:rPr>
        <w:rFonts w:ascii="宋体" w:hAnsi="宋体" w:eastAsia="宋体"/>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multilevel"/>
    <w:tmpl w:val="00000000"/>
    <w:lvl w:ilvl="0" w:tentative="0">
      <w:start w:val="1"/>
      <w:numFmt w:val="chineseCounting"/>
      <w:lvlText w:val="第%1条"/>
      <w:lvlJc w:val="left"/>
      <w:pPr>
        <w:ind w:left="0" w:firstLine="1419"/>
      </w:pPr>
      <w:rPr>
        <w:rFonts w:hint="eastAsia" w:ascii="宋体" w:hAnsi="宋体" w:eastAsia="黑体"/>
        <w:position w:val="0"/>
        <w:sz w:val="32"/>
        <w:szCs w:val="32"/>
        <w:lang w:val="en-US"/>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0"/>
  <w:evenAndOddHeaders w:val="true"/>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000000"/>
    <w:rsid w:val="30B246BC"/>
    <w:rsid w:val="35B38D56"/>
    <w:rsid w:val="5DB7C662"/>
    <w:rsid w:val="6BFB355C"/>
    <w:rsid w:val="6FFFDDF3"/>
    <w:rsid w:val="7ABF2CC4"/>
    <w:rsid w:val="8BEA45AD"/>
    <w:rsid w:val="AFD7E4D0"/>
    <w:rsid w:val="BDA94ECB"/>
    <w:rsid w:val="BFFCB71C"/>
    <w:rsid w:val="D07BB3D9"/>
    <w:rsid w:val="D971B9C8"/>
    <w:rsid w:val="DEF345BC"/>
    <w:rsid w:val="E7BDD0D6"/>
    <w:rsid w:val="EBE53772"/>
    <w:rsid w:val="FBD856A5"/>
    <w:rsid w:val="FCCB9C1C"/>
    <w:rsid w:val="FFB65784"/>
    <w:rsid w:val="FFC10088"/>
    <w:rsid w:val="FFE22C2D"/>
    <w:rsid w:val="FFFB77F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宋体"/>
      <w:kern w:val="2"/>
      <w:sz w:val="21"/>
      <w:szCs w:val="22"/>
      <w:lang w:val="en-US" w:eastAsia="zh-CN" w:bidi="ar-SA"/>
    </w:rPr>
  </w:style>
  <w:style w:type="paragraph" w:styleId="2">
    <w:name w:val="heading 1"/>
    <w:basedOn w:val="1"/>
    <w:next w:val="1"/>
    <w:link w:val="20"/>
    <w:qFormat/>
    <w:uiPriority w:val="9"/>
    <w:pPr>
      <w:snapToGrid w:val="0"/>
      <w:spacing w:line="560" w:lineRule="exact"/>
      <w:jc w:val="center"/>
      <w:outlineLvl w:val="0"/>
    </w:pPr>
    <w:rPr>
      <w:rFonts w:ascii="黑体" w:hAnsi="黑体" w:eastAsia="黑体"/>
      <w:bCs/>
      <w:color w:val="000000"/>
      <w:kern w:val="44"/>
      <w:sz w:val="32"/>
      <w:szCs w:val="32"/>
    </w:rPr>
  </w:style>
  <w:style w:type="character" w:default="1" w:styleId="10">
    <w:name w:val="Default Paragraph Font"/>
    <w:qFormat/>
    <w:uiPriority w:val="1"/>
  </w:style>
  <w:style w:type="table" w:default="1" w:styleId="8">
    <w:name w:val="Normal Table"/>
    <w:qFormat/>
    <w:uiPriority w:val="99"/>
    <w:tblPr>
      <w:tblCellMar>
        <w:top w:w="0" w:type="dxa"/>
        <w:left w:w="108" w:type="dxa"/>
        <w:bottom w:w="0" w:type="dxa"/>
        <w:right w:w="108" w:type="dxa"/>
      </w:tblCellMar>
    </w:tblPr>
  </w:style>
  <w:style w:type="paragraph" w:styleId="3">
    <w:name w:val="footer"/>
    <w:basedOn w:val="1"/>
    <w:link w:val="19"/>
    <w:qFormat/>
    <w:uiPriority w:val="99"/>
    <w:pPr>
      <w:tabs>
        <w:tab w:val="center" w:pos="4153"/>
        <w:tab w:val="right" w:pos="8306"/>
      </w:tabs>
      <w:snapToGrid w:val="0"/>
      <w:jc w:val="left"/>
    </w:pPr>
    <w:rPr>
      <w:sz w:val="18"/>
      <w:szCs w:val="18"/>
    </w:rPr>
  </w:style>
  <w:style w:type="paragraph" w:styleId="4">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39"/>
  </w:style>
  <w:style w:type="paragraph" w:styleId="6">
    <w:name w:val="Normal (Web)"/>
    <w:basedOn w:val="1"/>
    <w:qFormat/>
    <w:uiPriority w:val="0"/>
    <w:pPr>
      <w:widowControl/>
      <w:spacing w:before="100" w:beforeAutospacing="1" w:after="100" w:afterAutospacing="1"/>
      <w:jc w:val="left"/>
    </w:pPr>
    <w:rPr>
      <w:rFonts w:ascii="宋体" w:hAnsi="宋体" w:eastAsia="宋体"/>
      <w:kern w:val="0"/>
      <w:sz w:val="24"/>
      <w:szCs w:val="24"/>
    </w:rPr>
  </w:style>
  <w:style w:type="paragraph" w:styleId="7">
    <w:name w:val="Title"/>
    <w:basedOn w:val="1"/>
    <w:next w:val="1"/>
    <w:qFormat/>
    <w:uiPriority w:val="10"/>
    <w:pPr>
      <w:spacing w:line="480" w:lineRule="auto"/>
      <w:jc w:val="center"/>
      <w:outlineLvl w:val="0"/>
    </w:pPr>
    <w:rPr>
      <w:rFonts w:ascii="Cambria" w:hAnsi="Cambria" w:eastAsia="宋体"/>
      <w:b/>
      <w:bCs/>
      <w:sz w:val="48"/>
      <w:szCs w:val="32"/>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qFormat/>
    <w:uiPriority w:val="0"/>
  </w:style>
  <w:style w:type="character" w:styleId="12">
    <w:name w:val="Hyperlink"/>
    <w:basedOn w:val="10"/>
    <w:qFormat/>
    <w:uiPriority w:val="99"/>
    <w:rPr>
      <w:color w:val="0000FF"/>
      <w:u w:val="single"/>
    </w:rPr>
  </w:style>
  <w:style w:type="paragraph" w:customStyle="1" w:styleId="13">
    <w:name w:val="列出段落1"/>
    <w:basedOn w:val="1"/>
    <w:qFormat/>
    <w:uiPriority w:val="34"/>
    <w:pPr>
      <w:ind w:firstLine="420" w:firstLineChars="200"/>
    </w:pPr>
  </w:style>
  <w:style w:type="paragraph" w:customStyle="1" w:styleId="14">
    <w:name w:val="TOC 标题1"/>
    <w:basedOn w:val="2"/>
    <w:next w:val="1"/>
    <w:qFormat/>
    <w:uiPriority w:val="39"/>
    <w:pPr>
      <w:keepNext/>
      <w:keepLines/>
      <w:widowControl/>
      <w:spacing w:before="240" w:line="259" w:lineRule="auto"/>
      <w:outlineLvl w:val="9"/>
    </w:pPr>
    <w:rPr>
      <w:rFonts w:ascii="Cambria" w:hAnsi="Cambria" w:eastAsia="宋体"/>
      <w:b/>
      <w:bCs w:val="0"/>
      <w:color w:val="365F91"/>
      <w:kern w:val="0"/>
    </w:rPr>
  </w:style>
  <w:style w:type="paragraph" w:customStyle="1" w:styleId="15">
    <w:name w:val="List Paragraph_e0d69cad-dea6-4608-b8e4-165029871a4c"/>
    <w:basedOn w:val="1"/>
    <w:qFormat/>
    <w:uiPriority w:val="34"/>
    <w:pPr>
      <w:ind w:firstLine="420" w:firstLineChars="200"/>
    </w:pPr>
  </w:style>
  <w:style w:type="paragraph" w:customStyle="1" w:styleId="16">
    <w:name w:val="列表段落1"/>
    <w:basedOn w:val="1"/>
    <w:qFormat/>
    <w:uiPriority w:val="34"/>
    <w:pPr>
      <w:ind w:firstLine="420" w:firstLineChars="200"/>
    </w:pPr>
    <w:rPr>
      <w:rFonts w:eastAsia="宋体" w:cs="黑体"/>
    </w:rPr>
  </w:style>
  <w:style w:type="paragraph" w:customStyle="1" w:styleId="17">
    <w:name w:val="列表段落2"/>
    <w:basedOn w:val="1"/>
    <w:qFormat/>
    <w:uiPriority w:val="34"/>
    <w:pPr>
      <w:ind w:firstLine="420" w:firstLineChars="200"/>
    </w:pPr>
  </w:style>
  <w:style w:type="character" w:customStyle="1" w:styleId="18">
    <w:name w:val="页眉 字符"/>
    <w:basedOn w:val="10"/>
    <w:link w:val="4"/>
    <w:qFormat/>
    <w:uiPriority w:val="99"/>
    <w:rPr>
      <w:sz w:val="18"/>
      <w:szCs w:val="18"/>
    </w:rPr>
  </w:style>
  <w:style w:type="character" w:customStyle="1" w:styleId="19">
    <w:name w:val="页脚 字符"/>
    <w:basedOn w:val="10"/>
    <w:link w:val="3"/>
    <w:qFormat/>
    <w:uiPriority w:val="99"/>
    <w:rPr>
      <w:sz w:val="18"/>
      <w:szCs w:val="18"/>
    </w:rPr>
  </w:style>
  <w:style w:type="character" w:customStyle="1" w:styleId="20">
    <w:name w:val="标题 1 字符"/>
    <w:basedOn w:val="10"/>
    <w:link w:val="2"/>
    <w:qFormat/>
    <w:uiPriority w:val="9"/>
    <w:rPr>
      <w:rFonts w:ascii="黑体" w:hAnsi="黑体" w:eastAsia="黑体" w:cs="宋体"/>
      <w:bCs/>
      <w:color w:val="000000"/>
      <w:kern w:val="44"/>
      <w:sz w:val="32"/>
      <w:szCs w:val="32"/>
    </w:rPr>
  </w:style>
  <w:style w:type="character" w:customStyle="1" w:styleId="21">
    <w:name w:val="bjh-p"/>
    <w:basedOn w:val="10"/>
    <w:qFormat/>
    <w:uiPriority w:val="0"/>
  </w:style>
  <w:style w:type="character" w:customStyle="1" w:styleId="22">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25</Pages>
  <Words>11953</Words>
  <Characters>11956</Characters>
  <Lines>0</Lines>
  <Paragraphs>191</Paragraphs>
  <TotalTime>963</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2021-08-25T18:51:00Z</dcterms:created>
  <dc:creator>Tencent</dc:creator>
  <cp:lastModifiedBy>uos</cp:lastModifiedBy>
  <cp:lastPrinted>2021-08-28T06:03:00Z</cp:lastPrinted>
  <dcterms:modified xsi:type="dcterms:W3CDTF">2021-09-14T10:58:32Z</dcterms:modified>
  <dc:title>中国（北京）自由贸易试验区条例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