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cs="仿宋_GB2312"/>
          <w:kern w:val="0"/>
          <w:szCs w:val="32"/>
          <w:u w:val="none" w:color="FFFFFF"/>
        </w:rPr>
      </w:pPr>
      <w:r>
        <w:rPr>
          <w:rFonts w:hint="eastAsia" w:eastAsia="仿宋_GB2312" w:cs="仿宋_GB2312"/>
          <w:kern w:val="0"/>
          <w:szCs w:val="32"/>
          <w:u w:val="none" w:color="FFFFFF"/>
        </w:rPr>
        <w:t xml:space="preserve"> 附</w:t>
      </w:r>
      <w:r>
        <w:rPr>
          <w:rFonts w:hint="eastAsia" w:ascii="仿宋_GB2312" w:hAnsi="仿宋_GB2312" w:eastAsia="仿宋_GB2312" w:cs="仿宋_GB2312"/>
          <w:kern w:val="0"/>
          <w:szCs w:val="32"/>
          <w:u w:val="none" w:color="FFFFFF"/>
        </w:rPr>
        <w:t>件3</w:t>
      </w:r>
    </w:p>
    <w:p>
      <w:pPr>
        <w:jc w:val="center"/>
        <w:rPr>
          <w:rFonts w:hint="eastAsia" w:ascii="黑体" w:hAnsi="黑体" w:eastAsia="黑体" w:cs="黑体"/>
          <w:kern w:val="0"/>
          <w:sz w:val="44"/>
          <w:szCs w:val="44"/>
          <w:u w:val="none" w:color="FFFFFF"/>
        </w:rPr>
      </w:pPr>
      <w:r>
        <w:rPr>
          <w:rFonts w:hint="eastAsia" w:ascii="黑体" w:hAnsi="黑体" w:eastAsia="黑体" w:cs="黑体"/>
          <w:kern w:val="0"/>
          <w:sz w:val="44"/>
          <w:szCs w:val="44"/>
          <w:u w:val="none" w:color="FFFFFF"/>
        </w:rPr>
        <w:t>202</w:t>
      </w:r>
      <w:r>
        <w:rPr>
          <w:rFonts w:hint="eastAsia" w:ascii="黑体" w:hAnsi="黑体" w:eastAsia="黑体" w:cs="黑体"/>
          <w:kern w:val="0"/>
          <w:sz w:val="44"/>
          <w:szCs w:val="44"/>
          <w:u w:val="none" w:color="FFFFFF"/>
          <w:lang w:val="en-US" w:eastAsia="zh-CN"/>
        </w:rPr>
        <w:t>1</w:t>
      </w:r>
      <w:r>
        <w:rPr>
          <w:rFonts w:hint="eastAsia" w:ascii="黑体" w:hAnsi="黑体" w:eastAsia="黑体" w:cs="黑体"/>
          <w:kern w:val="0"/>
          <w:sz w:val="44"/>
          <w:szCs w:val="44"/>
          <w:u w:val="none" w:color="FFFFFF"/>
        </w:rPr>
        <w:t>年度支持服务贸易境外拓展</w:t>
      </w:r>
    </w:p>
    <w:p>
      <w:pPr>
        <w:jc w:val="center"/>
        <w:rPr>
          <w:rFonts w:hint="eastAsia" w:ascii="黑体" w:hAnsi="黑体" w:eastAsia="黑体" w:cs="黑体"/>
          <w:kern w:val="0"/>
          <w:sz w:val="44"/>
          <w:szCs w:val="44"/>
          <w:u w:val="none" w:color="FFFFFF"/>
        </w:rPr>
      </w:pPr>
      <w:r>
        <w:rPr>
          <w:rFonts w:hint="eastAsia" w:ascii="黑体" w:hAnsi="黑体" w:eastAsia="黑体" w:cs="黑体"/>
          <w:kern w:val="0"/>
          <w:sz w:val="44"/>
          <w:szCs w:val="44"/>
          <w:u w:val="none" w:color="FFFFFF"/>
        </w:rPr>
        <w:t>资金申报指南</w:t>
      </w:r>
    </w:p>
    <w:p>
      <w:pPr>
        <w:spacing w:line="560" w:lineRule="exact"/>
        <w:ind w:firstLine="628" w:firstLineChars="200"/>
        <w:rPr>
          <w:rFonts w:eastAsia="黑体"/>
          <w:szCs w:val="32"/>
        </w:rPr>
      </w:pPr>
      <w:bookmarkStart w:id="0" w:name="_Toc427320775"/>
      <w:r>
        <w:rPr>
          <w:rFonts w:eastAsia="黑体"/>
          <w:szCs w:val="32"/>
        </w:rPr>
        <w:t>一、支持范围</w:t>
      </w:r>
    </w:p>
    <w:p>
      <w:pPr>
        <w:spacing w:line="560" w:lineRule="exact"/>
        <w:ind w:firstLine="628" w:firstLineChars="200"/>
        <w:jc w:val="left"/>
        <w:rPr>
          <w:rFonts w:eastAsia="仿宋_GB2312"/>
          <w:kern w:val="0"/>
          <w:szCs w:val="32"/>
          <w:u w:val="none" w:color="FFFFFF"/>
        </w:rPr>
      </w:pPr>
      <w:r>
        <w:rPr>
          <w:rFonts w:eastAsia="仿宋_GB2312"/>
          <w:kern w:val="0"/>
          <w:szCs w:val="32"/>
          <w:u w:val="none" w:color="FFFFFF"/>
        </w:rPr>
        <w:t>支持内容以商</w:t>
      </w:r>
      <w:r>
        <w:rPr>
          <w:rFonts w:hint="eastAsia" w:ascii="仿宋_GB2312" w:hAnsi="仿宋_GB2312" w:eastAsia="仿宋_GB2312" w:cs="仿宋_GB2312"/>
          <w:kern w:val="0"/>
          <w:szCs w:val="32"/>
          <w:u w:val="none" w:color="FFFFFF"/>
        </w:rPr>
        <w:t>务部2016年第58号公告</w:t>
      </w:r>
      <w:r>
        <w:rPr>
          <w:rFonts w:eastAsia="仿宋_GB2312"/>
          <w:kern w:val="0"/>
          <w:szCs w:val="32"/>
          <w:u w:val="none" w:color="FFFFFF"/>
        </w:rPr>
        <w:t>提出的《服务出口重点领域指导目录》为基础，重点支持北京市服务业扩大开放综合试点的六个领域：科学技术服务领域、互联网和信息服务领域、文化教育服务领域、商务及旅游服务领域、健康医疗服务领域的服务贸易出口，以及北京加快培育的金融、科技、信息、文化创意、商务服务等现代服务业领域的相关服务贸易出口。</w:t>
      </w:r>
    </w:p>
    <w:p>
      <w:pPr>
        <w:spacing w:line="560" w:lineRule="exact"/>
        <w:ind w:firstLine="628" w:firstLineChars="200"/>
        <w:jc w:val="left"/>
        <w:rPr>
          <w:rFonts w:eastAsia="黑体"/>
          <w:bCs/>
          <w:kern w:val="0"/>
          <w:szCs w:val="32"/>
          <w:u w:val="none" w:color="FFFFFF"/>
        </w:rPr>
      </w:pPr>
      <w:r>
        <w:rPr>
          <w:rFonts w:eastAsia="黑体"/>
          <w:bCs/>
          <w:kern w:val="0"/>
          <w:szCs w:val="32"/>
          <w:u w:val="none" w:color="FFFFFF"/>
        </w:rPr>
        <w:t>二、申请条件</w:t>
      </w:r>
    </w:p>
    <w:p>
      <w:pPr>
        <w:spacing w:line="560" w:lineRule="exact"/>
        <w:ind w:firstLine="628" w:firstLineChars="200"/>
        <w:rPr>
          <w:rFonts w:hint="eastAsia" w:ascii="仿宋_GB2312" w:hAnsi="仿宋_GB2312" w:eastAsia="仿宋_GB2312" w:cs="仿宋_GB2312"/>
          <w:szCs w:val="32"/>
        </w:rPr>
      </w:pPr>
      <w:r>
        <w:rPr>
          <w:rFonts w:hint="eastAsia" w:ascii="仿宋_GB2312" w:hAnsi="仿宋_GB2312" w:eastAsia="仿宋_GB2312" w:cs="仿宋_GB2312"/>
          <w:color w:val="000000"/>
          <w:kern w:val="0"/>
          <w:szCs w:val="32"/>
        </w:rPr>
        <w:t>1. 依法在北京登记注册,具有独立法人资格；</w:t>
      </w:r>
    </w:p>
    <w:p>
      <w:pPr>
        <w:pStyle w:val="10"/>
        <w:spacing w:line="560" w:lineRule="exact"/>
        <w:ind w:firstLine="628"/>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2. 按照有关规定已取得开展相关业务资格或已进行核准或备案；</w:t>
      </w:r>
    </w:p>
    <w:p>
      <w:pPr>
        <w:pStyle w:val="10"/>
        <w:spacing w:line="560" w:lineRule="exact"/>
        <w:ind w:firstLine="628"/>
        <w:rPr>
          <w:rFonts w:ascii="Times New Roman" w:hAnsi="Times New Roman" w:eastAsia="仿宋_GB2312"/>
          <w:color w:val="000000"/>
          <w:kern w:val="0"/>
          <w:szCs w:val="32"/>
        </w:rPr>
      </w:pPr>
      <w:r>
        <w:rPr>
          <w:rFonts w:hint="eastAsia" w:ascii="仿宋_GB2312" w:hAnsi="仿宋_GB2312" w:eastAsia="仿宋_GB2312" w:cs="仿宋_GB2312"/>
          <w:color w:val="000000"/>
          <w:kern w:val="0"/>
          <w:szCs w:val="32"/>
        </w:rPr>
        <w:t xml:space="preserve">3. </w:t>
      </w:r>
      <w:r>
        <w:rPr>
          <w:rFonts w:ascii="Times New Roman" w:hAnsi="Times New Roman" w:eastAsia="仿宋_GB2312"/>
          <w:szCs w:val="32"/>
        </w:rPr>
        <w:t>通过商务部业务系统统一平台中的“技术贸易管理信息应用”或“服务贸易统计监测管理业务应用”如实填报</w:t>
      </w:r>
      <w:r>
        <w:rPr>
          <w:rFonts w:ascii="Times New Roman" w:hAnsi="Times New Roman" w:eastAsia="仿宋_GB2312"/>
          <w:color w:val="000000"/>
          <w:kern w:val="0"/>
          <w:szCs w:val="32"/>
        </w:rPr>
        <w:t>有关统计资料。</w:t>
      </w:r>
    </w:p>
    <w:p>
      <w:pPr>
        <w:tabs>
          <w:tab w:val="left" w:pos="709"/>
        </w:tabs>
        <w:spacing w:line="560" w:lineRule="exact"/>
        <w:ind w:firstLine="628" w:firstLineChars="200"/>
        <w:rPr>
          <w:rFonts w:eastAsia="黑体"/>
          <w:szCs w:val="32"/>
        </w:rPr>
      </w:pPr>
      <w:r>
        <w:rPr>
          <w:rFonts w:eastAsia="黑体"/>
          <w:szCs w:val="32"/>
        </w:rPr>
        <w:t>三、支持项目</w:t>
      </w:r>
    </w:p>
    <w:p>
      <w:pPr>
        <w:spacing w:line="560" w:lineRule="exact"/>
        <w:ind w:firstLine="628" w:firstLineChars="200"/>
        <w:rPr>
          <w:rFonts w:hint="eastAsia"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（一）服务贸易出口贴息项目</w:t>
      </w:r>
    </w:p>
    <w:bookmarkEnd w:id="0"/>
    <w:p>
      <w:pPr>
        <w:spacing w:line="560" w:lineRule="exact"/>
        <w:ind w:firstLine="616" w:firstLineChars="196"/>
        <w:rPr>
          <w:rFonts w:eastAsia="仿宋_GB2312"/>
          <w:b/>
          <w:bCs/>
          <w:color w:val="000000"/>
          <w:szCs w:val="32"/>
        </w:rPr>
      </w:pPr>
      <w:r>
        <w:rPr>
          <w:rFonts w:hint="eastAsia" w:ascii="仿宋_GB2312" w:hAnsi="仿宋_GB2312" w:eastAsia="仿宋_GB2312" w:cs="仿宋_GB2312"/>
          <w:b/>
          <w:bCs/>
          <w:color w:val="000000"/>
          <w:szCs w:val="32"/>
        </w:rPr>
        <w:t>1</w:t>
      </w:r>
      <w:r>
        <w:rPr>
          <w:rFonts w:hint="eastAsia" w:ascii="仿宋_GB2312" w:hAnsi="仿宋_GB2312" w:eastAsia="仿宋_GB2312" w:cs="仿宋_GB2312"/>
          <w:color w:val="000000"/>
          <w:kern w:val="0"/>
          <w:szCs w:val="32"/>
        </w:rPr>
        <w:t xml:space="preserve">. </w:t>
      </w:r>
      <w:r>
        <w:rPr>
          <w:rFonts w:eastAsia="仿宋_GB2312"/>
          <w:b/>
          <w:bCs/>
          <w:color w:val="000000"/>
          <w:szCs w:val="32"/>
        </w:rPr>
        <w:t>支持内容</w:t>
      </w:r>
    </w:p>
    <w:p>
      <w:pPr>
        <w:spacing w:line="560" w:lineRule="exact"/>
        <w:ind w:firstLine="616" w:firstLineChars="196"/>
        <w:rPr>
          <w:rFonts w:eastAsia="仿宋_GB2312"/>
          <w:color w:val="000000"/>
          <w:szCs w:val="32"/>
        </w:rPr>
      </w:pPr>
      <w:r>
        <w:rPr>
          <w:rFonts w:eastAsia="仿宋_GB2312"/>
          <w:color w:val="000000"/>
          <w:szCs w:val="32"/>
        </w:rPr>
        <w:t>对上述所列支持范围中的服务贸易出口给予贴息支持，优先支持其中的技术出口项目。技术出口，是指我国境内企业通过贸易、投资或经济技术合作方式向境外实施的专利权转让、专利申请权转让、专利实施许可、专有技术转让或许可等技术转移，以及技术转让或许可合同项下提供的技术</w:t>
      </w:r>
      <w:r>
        <w:rPr>
          <w:rFonts w:hint="eastAsia" w:ascii="仿宋_GB2312" w:hAnsi="仿宋_GB2312" w:eastAsia="仿宋_GB2312" w:cs="仿宋_GB2312"/>
          <w:color w:val="000000"/>
          <w:szCs w:val="32"/>
        </w:rPr>
        <w:t>服务。不包括《中国禁止出口限制出口技术目录》（商务部、科技部令2008年第12号）所列的出口技术。重点支持具有国际竞争力、成熟的产业化</w:t>
      </w:r>
      <w:r>
        <w:rPr>
          <w:rFonts w:eastAsia="仿宋_GB2312"/>
          <w:color w:val="000000"/>
          <w:szCs w:val="32"/>
        </w:rPr>
        <w:t>技术出口及技术服务出口。</w:t>
      </w:r>
    </w:p>
    <w:p>
      <w:pPr>
        <w:spacing w:line="560" w:lineRule="exact"/>
        <w:rPr>
          <w:rFonts w:eastAsia="仿宋_GB2312"/>
          <w:b/>
          <w:bCs/>
          <w:color w:val="000000"/>
          <w:szCs w:val="32"/>
        </w:rPr>
      </w:pPr>
      <w:bookmarkStart w:id="1" w:name="_Toc427320776"/>
      <w:r>
        <w:rPr>
          <w:rFonts w:eastAsia="仿宋_GB2312"/>
          <w:b/>
          <w:bCs/>
          <w:color w:val="000000"/>
          <w:szCs w:val="32"/>
        </w:rPr>
        <w:t xml:space="preserve">   </w:t>
      </w:r>
      <w:r>
        <w:rPr>
          <w:rFonts w:hint="eastAsia" w:ascii="仿宋_GB2312" w:hAnsi="仿宋_GB2312" w:eastAsia="仿宋_GB2312" w:cs="仿宋_GB2312"/>
          <w:b/>
          <w:bCs/>
          <w:color w:val="000000"/>
          <w:szCs w:val="32"/>
        </w:rPr>
        <w:t xml:space="preserve"> 2</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bCs/>
          <w:color w:val="000000"/>
          <w:szCs w:val="32"/>
        </w:rPr>
        <w:t>申报</w:t>
      </w:r>
      <w:r>
        <w:rPr>
          <w:rFonts w:eastAsia="仿宋_GB2312"/>
          <w:b/>
          <w:bCs/>
          <w:color w:val="000000"/>
          <w:szCs w:val="32"/>
        </w:rPr>
        <w:t>单位除满足基本条件外还应满足以下条件</w:t>
      </w:r>
      <w:bookmarkEnd w:id="1"/>
      <w:r>
        <w:rPr>
          <w:rFonts w:eastAsia="仿宋_GB2312"/>
          <w:b/>
          <w:bCs/>
          <w:color w:val="000000"/>
          <w:szCs w:val="32"/>
        </w:rPr>
        <w:t>：</w:t>
      </w:r>
    </w:p>
    <w:p>
      <w:pPr>
        <w:spacing w:line="560" w:lineRule="exact"/>
        <w:ind w:firstLine="628" w:firstLineChars="200"/>
        <w:rPr>
          <w:rFonts w:hint="eastAsia" w:ascii="仿宋_GB2312" w:hAnsi="仿宋_GB2312" w:eastAsia="仿宋_GB2312" w:cs="仿宋_GB2312"/>
          <w:szCs w:val="32"/>
        </w:rPr>
      </w:pPr>
      <w:r>
        <w:rPr>
          <w:rFonts w:hint="eastAsia" w:ascii="仿宋_GB2312" w:hAnsi="仿宋_GB2312" w:eastAsia="仿宋_GB2312" w:cs="仿宋_GB2312"/>
          <w:color w:val="000000"/>
          <w:szCs w:val="32"/>
        </w:rPr>
        <w:t>（1）技术出口业务应根据《中华人民共和国技术进出口管理条例》（中华人民共和国国务院令第331号），已在商务部“服务贸易统计监测管理信息系统（技术贸易管理信息应用）”中登记20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年7月1日至202</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年6月30日</w:t>
      </w:r>
      <w:r>
        <w:rPr>
          <w:rFonts w:hint="eastAsia" w:ascii="仿宋_GB2312" w:hAnsi="仿宋_GB2312" w:eastAsia="仿宋_GB2312" w:cs="仿宋_GB2312"/>
          <w:color w:val="000000"/>
          <w:szCs w:val="32"/>
          <w:highlight w:val="none"/>
          <w:lang w:val="en-US" w:eastAsia="zh-CN"/>
        </w:rPr>
        <w:t>(以下简称“规定期间”)</w:t>
      </w:r>
      <w:r>
        <w:rPr>
          <w:rFonts w:hint="eastAsia" w:ascii="仿宋_GB2312" w:hAnsi="仿宋_GB2312" w:eastAsia="仿宋_GB2312" w:cs="仿宋_GB2312"/>
          <w:color w:val="000000"/>
          <w:szCs w:val="32"/>
        </w:rPr>
        <w:t>的实际出口额。</w:t>
      </w:r>
      <w:r>
        <w:rPr>
          <w:rFonts w:hint="eastAsia" w:ascii="仿宋_GB2312" w:hAnsi="仿宋_GB2312" w:eastAsia="仿宋_GB2312" w:cs="仿宋_GB2312"/>
          <w:szCs w:val="32"/>
        </w:rPr>
        <w:t>其他服务贸易业务，应在商务部“</w:t>
      </w:r>
      <w:r>
        <w:rPr>
          <w:rFonts w:hint="eastAsia" w:ascii="仿宋_GB2312" w:hAnsi="仿宋_GB2312" w:eastAsia="仿宋_GB2312" w:cs="仿宋_GB2312"/>
          <w:color w:val="000000"/>
          <w:szCs w:val="32"/>
        </w:rPr>
        <w:t>服务贸易统计监测管理信息系统</w:t>
      </w:r>
      <w:r>
        <w:rPr>
          <w:rFonts w:hint="eastAsia" w:ascii="仿宋_GB2312" w:hAnsi="仿宋_GB2312" w:eastAsia="仿宋_GB2312" w:cs="仿宋_GB2312"/>
          <w:szCs w:val="32"/>
        </w:rPr>
        <w:t>”中</w:t>
      </w:r>
      <w:r>
        <w:rPr>
          <w:rFonts w:hint="eastAsia" w:ascii="仿宋_GB2312" w:hAnsi="仿宋_GB2312" w:eastAsia="仿宋_GB2312" w:cs="仿宋_GB2312"/>
          <w:color w:val="000000"/>
          <w:szCs w:val="32"/>
        </w:rPr>
        <w:t>登记</w:t>
      </w:r>
      <w:r>
        <w:rPr>
          <w:rFonts w:hint="eastAsia" w:ascii="仿宋_GB2312" w:hAnsi="仿宋_GB2312" w:eastAsia="仿宋_GB2312" w:cs="仿宋_GB2312"/>
          <w:color w:val="000000"/>
          <w:szCs w:val="32"/>
          <w:highlight w:val="none"/>
        </w:rPr>
        <w:t>规定期间</w:t>
      </w:r>
      <w:r>
        <w:rPr>
          <w:rFonts w:hint="eastAsia" w:ascii="仿宋_GB2312" w:hAnsi="仿宋_GB2312" w:eastAsia="仿宋_GB2312" w:cs="仿宋_GB2312"/>
          <w:color w:val="000000"/>
          <w:szCs w:val="32"/>
        </w:rPr>
        <w:t>的实际出口额</w:t>
      </w:r>
      <w:r>
        <w:rPr>
          <w:rFonts w:hint="eastAsia" w:ascii="仿宋_GB2312" w:hAnsi="仿宋_GB2312" w:eastAsia="仿宋_GB2312" w:cs="仿宋_GB2312"/>
          <w:szCs w:val="32"/>
        </w:rPr>
        <w:t>；</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szCs w:val="32"/>
        </w:rPr>
        <w:t>（2）相关业务应当</w:t>
      </w:r>
      <w:r>
        <w:rPr>
          <w:rFonts w:hint="eastAsia" w:ascii="仿宋_GB2312" w:hAnsi="仿宋_GB2312" w:eastAsia="仿宋_GB2312" w:cs="仿宋_GB2312"/>
          <w:color w:val="000000"/>
          <w:szCs w:val="32"/>
        </w:rPr>
        <w:t>在</w:t>
      </w:r>
      <w:r>
        <w:rPr>
          <w:rFonts w:hint="eastAsia" w:ascii="仿宋_GB2312" w:hAnsi="仿宋_GB2312" w:eastAsia="仿宋_GB2312" w:cs="仿宋_GB2312"/>
          <w:color w:val="000000"/>
          <w:szCs w:val="32"/>
          <w:highlight w:val="none"/>
        </w:rPr>
        <w:t>规定期间</w:t>
      </w:r>
      <w:r>
        <w:rPr>
          <w:rFonts w:hint="eastAsia" w:ascii="仿宋_GB2312" w:hAnsi="仿宋_GB2312" w:eastAsia="仿宋_GB2312" w:cs="仿宋_GB2312"/>
          <w:color w:val="000000"/>
          <w:szCs w:val="32"/>
        </w:rPr>
        <w:t>取得银行出具的收汇凭证，实际出口额应达到50万美元（含）以上。</w:t>
      </w:r>
    </w:p>
    <w:p>
      <w:pPr>
        <w:spacing w:line="560" w:lineRule="exact"/>
        <w:rPr>
          <w:rFonts w:hint="eastAsia" w:ascii="仿宋_GB2312" w:hAnsi="仿宋_GB2312" w:eastAsia="仿宋_GB2312" w:cs="仿宋_GB2312"/>
          <w:b/>
          <w:bCs/>
          <w:color w:val="000000"/>
          <w:szCs w:val="32"/>
        </w:rPr>
      </w:pPr>
      <w:bookmarkStart w:id="2" w:name="_Toc427320777"/>
      <w:r>
        <w:rPr>
          <w:rFonts w:eastAsia="仿宋_GB2312"/>
          <w:b/>
          <w:bCs/>
          <w:color w:val="000000"/>
          <w:szCs w:val="32"/>
        </w:rPr>
        <w:t xml:space="preserve">  </w:t>
      </w:r>
      <w:r>
        <w:rPr>
          <w:rFonts w:hint="eastAsia" w:ascii="仿宋_GB2312" w:hAnsi="仿宋_GB2312" w:eastAsia="仿宋_GB2312" w:cs="仿宋_GB2312"/>
          <w:b/>
          <w:bCs/>
          <w:color w:val="000000"/>
          <w:szCs w:val="32"/>
        </w:rPr>
        <w:t xml:space="preserve">  3</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bCs/>
          <w:color w:val="000000"/>
          <w:szCs w:val="32"/>
        </w:rPr>
        <w:t>支持标准和方式</w:t>
      </w:r>
      <w:bookmarkEnd w:id="2"/>
    </w:p>
    <w:p>
      <w:pPr>
        <w:spacing w:line="560" w:lineRule="exact"/>
        <w:ind w:firstLine="628" w:firstLineChars="200"/>
        <w:rPr>
          <w:rFonts w:hint="eastAsia" w:ascii="仿宋_GB2312" w:hAnsi="仿宋_GB2312" w:eastAsia="仿宋_GB2312" w:cs="仿宋_GB2312"/>
          <w:color w:val="0000FF"/>
          <w:szCs w:val="32"/>
        </w:rPr>
      </w:pPr>
      <w:r>
        <w:rPr>
          <w:rFonts w:hint="eastAsia" w:ascii="仿宋_GB2312" w:hAnsi="仿宋_GB2312" w:eastAsia="仿宋_GB2312" w:cs="仿宋_GB2312"/>
          <w:color w:val="000000"/>
          <w:szCs w:val="32"/>
        </w:rPr>
        <w:t>对申报单位在</w:t>
      </w:r>
      <w:r>
        <w:rPr>
          <w:rFonts w:hint="eastAsia" w:ascii="仿宋_GB2312" w:hAnsi="仿宋_GB2312" w:eastAsia="仿宋_GB2312" w:cs="仿宋_GB2312"/>
          <w:color w:val="000000"/>
          <w:szCs w:val="32"/>
          <w:highlight w:val="none"/>
        </w:rPr>
        <w:t>规定期间</w:t>
      </w:r>
      <w:r>
        <w:rPr>
          <w:rFonts w:hint="eastAsia" w:ascii="仿宋_GB2312" w:hAnsi="仿宋_GB2312" w:eastAsia="仿宋_GB2312" w:cs="仿宋_GB2312"/>
          <w:color w:val="000000"/>
          <w:szCs w:val="32"/>
        </w:rPr>
        <w:t>取得收汇凭证的服务贸易出口业务，以审定的出口收汇金额（</w:t>
      </w:r>
      <w:r>
        <w:rPr>
          <w:rFonts w:hint="eastAsia" w:ascii="仿宋_GB2312" w:hAnsi="仿宋_GB2312" w:eastAsia="仿宋_GB2312" w:cs="仿宋_GB2312"/>
          <w:color w:val="000000"/>
          <w:sz w:val="32"/>
          <w:szCs w:val="32"/>
          <w:highlight w:val="none"/>
          <w:lang w:val="en-US" w:eastAsia="zh-CN"/>
        </w:rPr>
        <w:t>汇率按</w:t>
      </w:r>
      <w:r>
        <w:rPr>
          <w:rFonts w:hint="eastAsia" w:ascii="仿宋_GB2312" w:hAnsi="仿宋_GB2312" w:eastAsia="仿宋_GB2312" w:cs="仿宋_GB2312"/>
          <w:kern w:val="0"/>
          <w:sz w:val="32"/>
          <w:szCs w:val="32"/>
          <w:highlight w:val="none"/>
          <w:u w:val="none" w:color="FFFFFF"/>
        </w:rPr>
        <w:t>中国人民银行公布的202</w:t>
      </w:r>
      <w:r>
        <w:rPr>
          <w:rFonts w:hint="eastAsia" w:ascii="仿宋_GB2312" w:hAnsi="仿宋_GB2312" w:eastAsia="仿宋_GB2312" w:cs="仿宋_GB2312"/>
          <w:kern w:val="0"/>
          <w:sz w:val="32"/>
          <w:szCs w:val="32"/>
          <w:highlight w:val="none"/>
          <w:u w:val="none" w:color="FFFFFF"/>
          <w:lang w:val="en-US" w:eastAsia="zh-CN"/>
        </w:rPr>
        <w:t>1</w:t>
      </w:r>
      <w:r>
        <w:rPr>
          <w:rFonts w:hint="eastAsia" w:ascii="仿宋_GB2312" w:hAnsi="仿宋_GB2312" w:eastAsia="仿宋_GB2312" w:cs="仿宋_GB2312"/>
          <w:kern w:val="0"/>
          <w:sz w:val="32"/>
          <w:szCs w:val="32"/>
          <w:highlight w:val="none"/>
          <w:u w:val="none" w:color="FFFFFF"/>
        </w:rPr>
        <w:t>年6月30日</w:t>
      </w:r>
      <w:r>
        <w:rPr>
          <w:rFonts w:hint="eastAsia" w:ascii="仿宋_GB2312" w:hAnsi="仿宋_GB2312" w:eastAsia="仿宋_GB2312" w:cs="仿宋_GB2312"/>
          <w:kern w:val="0"/>
          <w:sz w:val="32"/>
          <w:szCs w:val="32"/>
          <w:highlight w:val="none"/>
          <w:u w:val="none" w:color="FFFFFF"/>
          <w:lang w:val="en-US" w:eastAsia="zh-CN"/>
        </w:rPr>
        <w:t>人民币汇率中间价计算</w:t>
      </w:r>
      <w:r>
        <w:rPr>
          <w:rFonts w:hint="eastAsia" w:ascii="仿宋_GB2312" w:hAnsi="仿宋_GB2312" w:eastAsia="仿宋_GB2312" w:cs="仿宋_GB2312"/>
          <w:color w:val="000000"/>
          <w:szCs w:val="32"/>
        </w:rPr>
        <w:t>）作为计算贴息的本金，按照不超过中国人民银行公</w:t>
      </w:r>
      <w:r>
        <w:rPr>
          <w:rFonts w:hint="eastAsia" w:ascii="仿宋_GB2312" w:hAnsi="仿宋_GB2312" w:eastAsia="仿宋_GB2312" w:cs="仿宋_GB2312"/>
          <w:szCs w:val="32"/>
        </w:rPr>
        <w:t>布的202</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年6月30日前最近一期一年贷款市场报价利率（LPR）给予贴息支持</w:t>
      </w:r>
      <w:r>
        <w:rPr>
          <w:rFonts w:hint="eastAsia" w:ascii="仿宋_GB2312" w:hAnsi="仿宋_GB2312" w:eastAsia="仿宋_GB2312" w:cs="仿宋_GB2312"/>
          <w:color w:val="000000"/>
          <w:kern w:val="0"/>
          <w:szCs w:val="32"/>
          <w:u w:val="none" w:color="FFFFFF"/>
        </w:rPr>
        <w:t>（实际贴息金额按支持资金总体规模、实际业务核准额及申报企业数量综合确定）</w:t>
      </w:r>
      <w:r>
        <w:rPr>
          <w:rFonts w:hint="eastAsia" w:ascii="仿宋_GB2312" w:hAnsi="仿宋_GB2312" w:eastAsia="仿宋_GB2312" w:cs="仿宋_GB2312"/>
          <w:szCs w:val="32"/>
        </w:rPr>
        <w:t>。对同一申报单位的贴息总额最高不超过</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00万元人民币。</w:t>
      </w:r>
    </w:p>
    <w:p>
      <w:pPr>
        <w:spacing w:line="560" w:lineRule="exact"/>
        <w:rPr>
          <w:rFonts w:hint="eastAsia" w:ascii="仿宋_GB2312" w:hAnsi="仿宋_GB2312" w:eastAsia="仿宋_GB2312" w:cs="仿宋_GB2312"/>
          <w:b/>
          <w:bCs/>
          <w:color w:val="000000"/>
          <w:szCs w:val="32"/>
        </w:rPr>
      </w:pPr>
      <w:bookmarkStart w:id="3" w:name="_Toc427320778"/>
      <w:r>
        <w:rPr>
          <w:rFonts w:hint="eastAsia" w:ascii="仿宋_GB2312" w:hAnsi="仿宋_GB2312" w:eastAsia="仿宋_GB2312" w:cs="仿宋_GB2312"/>
          <w:b/>
          <w:bCs/>
          <w:color w:val="000000"/>
          <w:szCs w:val="32"/>
        </w:rPr>
        <w:t xml:space="preserve">    4</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bCs/>
          <w:color w:val="000000"/>
          <w:szCs w:val="32"/>
        </w:rPr>
        <w:t>申报材料</w:t>
      </w:r>
      <w:bookmarkEnd w:id="3"/>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（1）由法定代表人签字的</w:t>
      </w:r>
      <w:r>
        <w:rPr>
          <w:rFonts w:hint="eastAsia" w:ascii="仿宋_GB2312" w:hAnsi="仿宋_GB2312" w:eastAsia="仿宋_GB2312" w:cs="仿宋_GB2312"/>
          <w:szCs w:val="32"/>
        </w:rPr>
        <w:t>项目申请</w:t>
      </w:r>
      <w:r>
        <w:rPr>
          <w:rFonts w:hint="eastAsia" w:ascii="仿宋_GB2312" w:hAnsi="仿宋_GB2312" w:eastAsia="仿宋_GB2312" w:cs="仿宋_GB2312"/>
          <w:color w:val="000000"/>
          <w:szCs w:val="32"/>
        </w:rPr>
        <w:t>报告，内容包括：申报单位基本情况、出口概要、本申报单位近三年无严重违法违规行为，是否拖欠政府性资金、同一项目是否已申请或享受其他财政资金等，以及申报说明；</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w:t>
      </w:r>
      <w:r>
        <w:rPr>
          <w:rFonts w:hint="eastAsia" w:ascii="仿宋_GB2312" w:hAnsi="仿宋_GB2312" w:eastAsia="仿宋_GB2312" w:cs="仿宋_GB2312"/>
          <w:szCs w:val="32"/>
        </w:rPr>
        <w:t>服务贸易境外拓展资金项目申请表</w:t>
      </w:r>
      <w:r>
        <w:rPr>
          <w:rFonts w:hint="eastAsia" w:ascii="仿宋_GB2312" w:hAnsi="仿宋_GB2312" w:eastAsia="仿宋_GB2312" w:cs="仿宋_GB2312"/>
          <w:color w:val="000000"/>
          <w:szCs w:val="32"/>
        </w:rPr>
        <w:t>》；</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（3）由法定代表人签字的《</w:t>
      </w:r>
      <w:r>
        <w:rPr>
          <w:rFonts w:hint="eastAsia" w:ascii="仿宋_GB2312" w:hAnsi="仿宋_GB2312" w:eastAsia="仿宋_GB2312" w:cs="仿宋_GB2312"/>
          <w:szCs w:val="32"/>
        </w:rPr>
        <w:t>服务贸易境外拓展资金项目申请承诺书</w:t>
      </w:r>
      <w:r>
        <w:rPr>
          <w:rFonts w:hint="eastAsia" w:ascii="仿宋_GB2312" w:hAnsi="仿宋_GB2312" w:eastAsia="仿宋_GB2312" w:cs="仿宋_GB2312"/>
          <w:color w:val="000000"/>
          <w:szCs w:val="32"/>
        </w:rPr>
        <w:t>》；</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（4）营业执照复印件</w:t>
      </w:r>
      <w:r>
        <w:rPr>
          <w:rFonts w:hint="eastAsia" w:ascii="仿宋_GB2312" w:hAnsi="仿宋_GB2312" w:eastAsia="仿宋_GB2312" w:cs="仿宋_GB2312"/>
          <w:color w:val="000000"/>
          <w:szCs w:val="32"/>
          <w:lang w:val="en-US" w:eastAsia="zh-CN"/>
        </w:rPr>
        <w:t>或</w:t>
      </w:r>
      <w:r>
        <w:rPr>
          <w:rFonts w:hint="eastAsia" w:ascii="仿宋_GB2312" w:hAnsi="仿宋_GB2312" w:eastAsia="仿宋_GB2312" w:cs="仿宋_GB2312"/>
          <w:kern w:val="0"/>
          <w:sz w:val="32"/>
          <w:szCs w:val="32"/>
          <w:u w:val="none" w:color="FFFFFF"/>
          <w:lang w:val="en-US" w:eastAsia="zh-CN"/>
        </w:rPr>
        <w:t>相关部门颁发的执业许可证</w:t>
      </w:r>
      <w:r>
        <w:rPr>
          <w:rFonts w:hint="eastAsia" w:ascii="仿宋_GB2312" w:hAnsi="仿宋_GB2312" w:eastAsia="仿宋_GB2312" w:cs="仿宋_GB2312"/>
          <w:color w:val="000000"/>
          <w:szCs w:val="32"/>
        </w:rPr>
        <w:t>；</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（5）服务贸易出口合同复印件；</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（6）银行出具的收汇凭证复印件（收汇凭证以非人民币作为计价币种的，应将出口额换算成人民币）；</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（7）相关涉外收入申报单复印件；</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（8）涉及专利权转让的单位需提供著录项目变更手续合格通知书复印件； </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（9）经会计师事务所审计的</w:t>
      </w:r>
      <w:r>
        <w:rPr>
          <w:rFonts w:hint="eastAsia" w:ascii="仿宋_GB2312" w:hAnsi="仿宋_GB2312" w:eastAsia="仿宋_GB2312" w:cs="仿宋_GB2312"/>
          <w:color w:val="000000"/>
          <w:szCs w:val="32"/>
          <w:lang w:val="en-US" w:eastAsia="zh-CN"/>
        </w:rPr>
        <w:t>2020</w:t>
      </w:r>
      <w:r>
        <w:rPr>
          <w:rFonts w:hint="eastAsia" w:ascii="仿宋_GB2312" w:hAnsi="仿宋_GB2312" w:eastAsia="仿宋_GB2312" w:cs="仿宋_GB2312"/>
          <w:color w:val="000000"/>
          <w:szCs w:val="32"/>
        </w:rPr>
        <w:t>年度财务会计报告复印件；</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（10）技术出口项目还要提供《技术出口合同登记证书》和《技术出口合同数据表》及《技术出口数据变更记录表》复印件；</w:t>
      </w:r>
    </w:p>
    <w:p>
      <w:pPr>
        <w:spacing w:line="560" w:lineRule="exact"/>
        <w:ind w:firstLine="628"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以上材料均须加盖申报单位公章。</w:t>
      </w:r>
    </w:p>
    <w:p>
      <w:pPr>
        <w:spacing w:line="560" w:lineRule="exact"/>
        <w:ind w:firstLine="628" w:firstLineChars="200"/>
        <w:rPr>
          <w:rFonts w:hint="eastAsia"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（二）鼓励会计事务所参与国际竞争项目</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szCs w:val="32"/>
        </w:rPr>
        <w:t>1</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color w:val="000000"/>
          <w:szCs w:val="32"/>
        </w:rPr>
        <w:t>支持对象</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（1）会计师事务所应在北京市注册登记，并具有经北京市财政局行政许可的会计师事务所执业证书；</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（2）会计师事务所近三年以来无严重违法违规行为。</w:t>
      </w:r>
    </w:p>
    <w:p>
      <w:pPr>
        <w:spacing w:line="560" w:lineRule="exact"/>
        <w:ind w:firstLine="628" w:firstLineChars="200"/>
        <w:rPr>
          <w:rFonts w:hint="eastAsia" w:ascii="仿宋_GB2312" w:hAnsi="仿宋_GB2312" w:eastAsia="仿宋_GB2312" w:cs="仿宋_GB2312"/>
          <w:b/>
          <w:color w:val="000000"/>
          <w:kern w:val="0"/>
          <w:szCs w:val="32"/>
        </w:rPr>
      </w:pPr>
      <w:r>
        <w:rPr>
          <w:rFonts w:hint="eastAsia" w:ascii="仿宋_GB2312" w:hAnsi="仿宋_GB2312" w:eastAsia="仿宋_GB2312" w:cs="仿宋_GB2312"/>
          <w:b/>
          <w:color w:val="000000"/>
          <w:kern w:val="0"/>
          <w:szCs w:val="32"/>
        </w:rPr>
        <w:t>2</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color w:val="000000"/>
          <w:kern w:val="0"/>
          <w:szCs w:val="32"/>
        </w:rPr>
        <w:t>支持标准和方式</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（1）鼓励会计师事务所在境外以自有品牌设立分支机构（含并购吸收所在国家和地区的会计师事务所成为其成员所）。</w:t>
      </w:r>
      <w:r>
        <w:rPr>
          <w:rFonts w:hint="eastAsia" w:ascii="仿宋_GB2312" w:hAnsi="仿宋_GB2312" w:eastAsia="仿宋_GB2312" w:cs="仿宋_GB2312"/>
          <w:color w:val="000000"/>
          <w:kern w:val="0"/>
          <w:szCs w:val="32"/>
          <w:highlight w:val="none"/>
        </w:rPr>
        <w:t>规定期间</w:t>
      </w:r>
      <w:r>
        <w:rPr>
          <w:rFonts w:hint="eastAsia" w:ascii="仿宋_GB2312" w:hAnsi="仿宋_GB2312" w:eastAsia="仿宋_GB2312" w:cs="仿宋_GB2312"/>
          <w:color w:val="000000"/>
          <w:kern w:val="0"/>
          <w:szCs w:val="32"/>
          <w:highlight w:val="none"/>
          <w:lang w:eastAsia="zh-CN"/>
        </w:rPr>
        <w:t>内</w:t>
      </w:r>
      <w:r>
        <w:rPr>
          <w:rFonts w:hint="eastAsia" w:ascii="仿宋_GB2312" w:hAnsi="仿宋_GB2312" w:eastAsia="仿宋_GB2312" w:cs="仿宋_GB2312"/>
          <w:color w:val="000000"/>
          <w:kern w:val="0"/>
          <w:szCs w:val="32"/>
          <w:highlight w:val="none"/>
        </w:rPr>
        <w:t>，</w:t>
      </w:r>
      <w:r>
        <w:rPr>
          <w:rFonts w:hint="eastAsia" w:ascii="仿宋_GB2312" w:hAnsi="仿宋_GB2312" w:eastAsia="仿宋_GB2312" w:cs="仿宋_GB2312"/>
          <w:color w:val="000000"/>
          <w:kern w:val="0"/>
          <w:szCs w:val="32"/>
        </w:rPr>
        <w:t>每在境外自主设立一家分支机构（含并购吸收所在国家和地区的会计师事务所成为其成员所），实现品牌统一，正常开展业务，经申请审核，给予15万元奖励，每年每家会计师事务所奖励最高限额为100万元。</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（2）鼓励会计师事务所以自有品牌参与权威国际会计公司网络排名。</w:t>
      </w:r>
      <w:r>
        <w:rPr>
          <w:rFonts w:hint="eastAsia" w:ascii="仿宋_GB2312" w:hAnsi="仿宋_GB2312" w:eastAsia="仿宋_GB2312" w:cs="仿宋_GB2312"/>
          <w:color w:val="000000"/>
          <w:kern w:val="0"/>
          <w:szCs w:val="32"/>
          <w:highlight w:val="none"/>
        </w:rPr>
        <w:t>规定期间</w:t>
      </w:r>
      <w:r>
        <w:rPr>
          <w:rFonts w:hint="eastAsia" w:ascii="仿宋_GB2312" w:hAnsi="仿宋_GB2312" w:eastAsia="仿宋_GB2312" w:cs="仿宋_GB2312"/>
          <w:color w:val="000000"/>
          <w:kern w:val="0"/>
          <w:szCs w:val="32"/>
          <w:highlight w:val="none"/>
          <w:lang w:eastAsia="zh-CN"/>
        </w:rPr>
        <w:t>内</w:t>
      </w:r>
      <w:r>
        <w:rPr>
          <w:rFonts w:hint="eastAsia" w:ascii="仿宋_GB2312" w:hAnsi="仿宋_GB2312" w:eastAsia="仿宋_GB2312" w:cs="仿宋_GB2312"/>
          <w:color w:val="000000"/>
          <w:kern w:val="0"/>
          <w:szCs w:val="32"/>
          <w:highlight w:val="none"/>
        </w:rPr>
        <w:t>，</w:t>
      </w:r>
      <w:r>
        <w:rPr>
          <w:rFonts w:hint="eastAsia" w:ascii="仿宋_GB2312" w:hAnsi="仿宋_GB2312" w:eastAsia="仿宋_GB2312" w:cs="仿宋_GB2312"/>
          <w:color w:val="000000"/>
          <w:kern w:val="0"/>
          <w:szCs w:val="32"/>
        </w:rPr>
        <w:t>会计师事务所在境外以自有品牌设立分支机构两家以上，并以自有品牌参与权威国际会计公司网络排名，分三档进行奖励：进入全球前30名，一次性给予30万元奖励；进入全球前20名，一次性给予40万元奖励；进入全球前10名，一次性给予50万元奖励。国际排名名次以会计师事务所</w:t>
      </w:r>
      <w:r>
        <w:rPr>
          <w:rFonts w:hint="eastAsia" w:ascii="仿宋_GB2312" w:hAnsi="仿宋_GB2312" w:eastAsia="仿宋_GB2312" w:cs="仿宋_GB2312"/>
          <w:color w:val="000000"/>
          <w:kern w:val="0"/>
          <w:szCs w:val="32"/>
          <w:lang w:val="en-US" w:eastAsia="zh-CN"/>
        </w:rPr>
        <w:t>2020</w:t>
      </w:r>
      <w:r>
        <w:rPr>
          <w:rFonts w:hint="eastAsia" w:ascii="仿宋_GB2312" w:hAnsi="仿宋_GB2312" w:eastAsia="仿宋_GB2312" w:cs="仿宋_GB2312"/>
          <w:color w:val="000000"/>
          <w:kern w:val="0"/>
          <w:szCs w:val="32"/>
        </w:rPr>
        <w:t>年度参与权威国际会计公司网络排名较为靠前的名次为准，符合条件的会计师事务所不重复享受奖励。</w:t>
      </w:r>
    </w:p>
    <w:p>
      <w:pPr>
        <w:spacing w:line="560" w:lineRule="exact"/>
        <w:ind w:firstLine="628" w:firstLineChars="200"/>
        <w:rPr>
          <w:rFonts w:hint="eastAsia" w:ascii="仿宋_GB2312" w:hAnsi="仿宋_GB2312" w:eastAsia="仿宋_GB2312" w:cs="仿宋_GB2312"/>
          <w:b/>
          <w:bCs/>
          <w:color w:val="000000"/>
          <w:kern w:val="0"/>
          <w:szCs w:val="32"/>
        </w:rPr>
      </w:pPr>
      <w:r>
        <w:rPr>
          <w:rFonts w:hint="eastAsia" w:ascii="仿宋_GB2312" w:hAnsi="仿宋_GB2312" w:eastAsia="仿宋_GB2312" w:cs="仿宋_GB2312"/>
          <w:b/>
          <w:bCs/>
          <w:color w:val="000000"/>
          <w:kern w:val="0"/>
          <w:szCs w:val="32"/>
        </w:rPr>
        <w:t>3</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b/>
          <w:bCs/>
          <w:color w:val="000000"/>
          <w:kern w:val="0"/>
          <w:szCs w:val="32"/>
        </w:rPr>
        <w:t>申报材料</w:t>
      </w:r>
    </w:p>
    <w:p>
      <w:pPr>
        <w:pStyle w:val="6"/>
        <w:spacing w:before="0" w:beforeAutospacing="0" w:after="0" w:afterAutospacing="0"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w:t>
      </w:r>
      <w:r>
        <w:rPr>
          <w:rFonts w:hint="eastAsia" w:ascii="仿宋_GB2312" w:hAnsi="仿宋_GB2312" w:eastAsia="仿宋_GB2312" w:cs="仿宋_GB2312"/>
          <w:color w:val="000000"/>
          <w:sz w:val="32"/>
          <w:szCs w:val="32"/>
        </w:rPr>
        <w:t>法定代表人签字的</w:t>
      </w:r>
      <w:r>
        <w:rPr>
          <w:rFonts w:hint="eastAsia" w:ascii="仿宋_GB2312" w:hAnsi="仿宋_GB2312" w:eastAsia="仿宋_GB2312" w:cs="仿宋_GB2312"/>
          <w:sz w:val="32"/>
          <w:szCs w:val="32"/>
        </w:rPr>
        <w:t>《服务贸易海外拓展资金项目申请表》，</w:t>
      </w:r>
      <w:r>
        <w:rPr>
          <w:rFonts w:hint="eastAsia" w:ascii="仿宋_GB2312" w:hAnsi="仿宋_GB2312" w:eastAsia="仿宋_GB2312" w:cs="仿宋_GB2312"/>
          <w:color w:val="000000"/>
          <w:sz w:val="32"/>
          <w:szCs w:val="32"/>
        </w:rPr>
        <w:t>内容包括：企业基本情况、出口概要、本企业近三年无严重违法违规行为，是否拖欠政府性资金、同一项目是否已申请或享受其他财政资金等，以及申报说明；</w:t>
      </w:r>
    </w:p>
    <w:p>
      <w:pPr>
        <w:pStyle w:val="6"/>
        <w:spacing w:before="0" w:beforeAutospacing="0" w:after="0" w:afterAutospacing="0" w:line="56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会计师事务所执业证书</w:t>
      </w:r>
      <w:r>
        <w:rPr>
          <w:rFonts w:hint="eastAsia" w:ascii="仿宋_GB2312" w:hAnsi="仿宋_GB2312" w:eastAsia="仿宋_GB2312" w:cs="仿宋_GB2312"/>
          <w:color w:val="000000"/>
          <w:sz w:val="32"/>
          <w:szCs w:val="32"/>
        </w:rPr>
        <w:t>；</w:t>
      </w:r>
    </w:p>
    <w:p>
      <w:pPr>
        <w:widowControl/>
        <w:spacing w:line="560" w:lineRule="exact"/>
        <w:ind w:firstLine="628"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（3）由法定代表人签字的《服务贸易海外拓展资金项目申请承诺书》；</w:t>
      </w:r>
    </w:p>
    <w:p>
      <w:pPr>
        <w:spacing w:line="560" w:lineRule="exact"/>
        <w:ind w:firstLine="628" w:firstLineChars="200"/>
        <w:rPr>
          <w:rFonts w:hint="eastAsia" w:ascii="仿宋_GB2312" w:hAnsi="仿宋_GB2312" w:eastAsia="仿宋_GB2312" w:cs="仿宋_GB2312"/>
          <w:b/>
          <w:bCs/>
          <w:color w:val="000000"/>
          <w:kern w:val="0"/>
          <w:szCs w:val="32"/>
        </w:rPr>
      </w:pPr>
      <w:r>
        <w:rPr>
          <w:rFonts w:hint="eastAsia" w:ascii="仿宋_GB2312" w:hAnsi="仿宋_GB2312" w:eastAsia="仿宋_GB2312" w:cs="仿宋_GB2312"/>
          <w:color w:val="000000"/>
          <w:kern w:val="0"/>
          <w:szCs w:val="32"/>
        </w:rPr>
        <w:t>（4）经会计师事务所审计的</w:t>
      </w:r>
      <w:r>
        <w:rPr>
          <w:rFonts w:hint="eastAsia" w:ascii="仿宋_GB2312" w:hAnsi="仿宋_GB2312" w:eastAsia="仿宋_GB2312" w:cs="仿宋_GB2312"/>
          <w:color w:val="000000"/>
          <w:kern w:val="0"/>
          <w:szCs w:val="32"/>
          <w:lang w:val="en-US" w:eastAsia="zh-CN"/>
        </w:rPr>
        <w:t>2020</w:t>
      </w:r>
      <w:r>
        <w:rPr>
          <w:rFonts w:hint="eastAsia" w:ascii="仿宋_GB2312" w:hAnsi="仿宋_GB2312" w:eastAsia="仿宋_GB2312" w:cs="仿宋_GB2312"/>
          <w:color w:val="000000"/>
          <w:kern w:val="0"/>
          <w:szCs w:val="32"/>
        </w:rPr>
        <w:t>年度财务会计报告复印件；</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（5）以自主品牌参与权威国际会计公司网络排名所获得较高名次的证明材料（中英文）；</w:t>
      </w:r>
    </w:p>
    <w:p>
      <w:pPr>
        <w:spacing w:line="560" w:lineRule="exact"/>
        <w:ind w:firstLine="628" w:firstLineChars="200"/>
        <w:rPr>
          <w:rFonts w:hint="eastAsia" w:ascii="仿宋_GB2312" w:hAnsi="仿宋_GB2312" w:eastAsia="仿宋_GB2312" w:cs="仿宋_GB2312"/>
          <w:b/>
          <w:bCs/>
          <w:color w:val="000000"/>
          <w:kern w:val="0"/>
          <w:szCs w:val="32"/>
        </w:rPr>
      </w:pPr>
      <w:r>
        <w:rPr>
          <w:rFonts w:hint="eastAsia" w:ascii="仿宋_GB2312" w:hAnsi="仿宋_GB2312" w:eastAsia="仿宋_GB2312" w:cs="仿宋_GB2312"/>
          <w:color w:val="000000"/>
          <w:kern w:val="0"/>
          <w:szCs w:val="32"/>
        </w:rPr>
        <w:t>（6）事务所自主品牌情况说明；</w:t>
      </w:r>
    </w:p>
    <w:p>
      <w:pPr>
        <w:spacing w:line="560" w:lineRule="exact"/>
        <w:ind w:firstLine="628"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以上材料均须加盖企业公章。</w:t>
      </w:r>
    </w:p>
    <w:p>
      <w:pPr>
        <w:widowControl/>
        <w:spacing w:line="560" w:lineRule="exact"/>
        <w:jc w:val="left"/>
        <w:rPr>
          <w:rFonts w:eastAsia="黑体"/>
          <w:szCs w:val="32"/>
        </w:rPr>
      </w:pPr>
      <w:r>
        <w:rPr>
          <w:rFonts w:hint="eastAsia" w:eastAsia="黑体"/>
          <w:szCs w:val="32"/>
        </w:rPr>
        <w:t xml:space="preserve">    四</w:t>
      </w:r>
      <w:r>
        <w:rPr>
          <w:rFonts w:eastAsia="黑体"/>
          <w:szCs w:val="32"/>
        </w:rPr>
        <w:t>、申报</w:t>
      </w:r>
      <w:r>
        <w:rPr>
          <w:rFonts w:hint="eastAsia" w:eastAsia="黑体"/>
          <w:szCs w:val="32"/>
        </w:rPr>
        <w:t>工作</w:t>
      </w:r>
      <w:r>
        <w:rPr>
          <w:rFonts w:eastAsia="黑体"/>
          <w:szCs w:val="32"/>
        </w:rPr>
        <w:t>要求：</w:t>
      </w:r>
    </w:p>
    <w:p>
      <w:pPr>
        <w:adjustRightInd w:val="0"/>
        <w:spacing w:line="560" w:lineRule="exact"/>
        <w:ind w:firstLine="628"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w:t>
      </w:r>
      <w:r>
        <w:rPr>
          <w:rFonts w:hint="eastAsia" w:ascii="仿宋_GB2312" w:hAnsi="仿宋_GB2312" w:eastAsia="仿宋_GB2312" w:cs="仿宋_GB2312"/>
          <w:sz w:val="32"/>
          <w:szCs w:val="32"/>
        </w:rPr>
        <w:t>8月2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w:t>
      </w:r>
      <w:r>
        <w:rPr>
          <w:rFonts w:hint="eastAsia" w:eastAsia="仿宋_GB2312"/>
          <w:sz w:val="32"/>
          <w:szCs w:val="32"/>
        </w:rPr>
        <w:t>，</w:t>
      </w:r>
      <w:r>
        <w:rPr>
          <w:rFonts w:eastAsia="仿宋_GB2312"/>
          <w:sz w:val="32"/>
          <w:szCs w:val="32"/>
        </w:rPr>
        <w:t>请各项目申报单位将申报材料一式两份（含电子版）报</w:t>
      </w:r>
      <w:r>
        <w:rPr>
          <w:rFonts w:hint="eastAsia" w:ascii="仿宋_GB2312" w:hAnsi="仿宋_GB2312" w:eastAsia="仿宋_GB2312" w:cs="仿宋_GB2312"/>
          <w:color w:val="000000"/>
          <w:sz w:val="32"/>
          <w:szCs w:val="32"/>
          <w:shd w:val="clear" w:color="auto" w:fill="FFFFFF"/>
          <w:lang w:val="en-US" w:eastAsia="zh-CN"/>
        </w:rPr>
        <w:t>辖</w:t>
      </w:r>
      <w:r>
        <w:rPr>
          <w:rFonts w:hint="eastAsia" w:ascii="仿宋_GB2312" w:hAnsi="仿宋_GB2312" w:eastAsia="仿宋_GB2312" w:cs="仿宋_GB2312"/>
          <w:color w:val="000000"/>
          <w:sz w:val="32"/>
          <w:szCs w:val="32"/>
          <w:shd w:val="clear" w:color="auto" w:fill="FFFFFF"/>
        </w:rPr>
        <w:t>区</w:t>
      </w:r>
      <w:r>
        <w:rPr>
          <w:rFonts w:hint="eastAsia" w:ascii="仿宋_GB2312" w:hAnsi="仿宋_GB2312" w:eastAsia="仿宋_GB2312" w:cs="仿宋_GB2312"/>
          <w:color w:val="000000"/>
          <w:sz w:val="32"/>
          <w:szCs w:val="32"/>
          <w:shd w:val="clear" w:color="auto" w:fill="FFFFFF"/>
          <w:lang w:val="en-US" w:eastAsia="zh-CN"/>
        </w:rPr>
        <w:t>商务局</w:t>
      </w:r>
      <w:r>
        <w:rPr>
          <w:rFonts w:hint="eastAsia" w:ascii="仿宋_GB2312" w:hAnsi="仿宋_GB2312" w:eastAsia="仿宋_GB2312" w:cs="仿宋_GB2312"/>
          <w:color w:val="000000"/>
          <w:sz w:val="32"/>
          <w:szCs w:val="32"/>
          <w:shd w:val="clear" w:color="auto" w:fill="FFFFFF"/>
        </w:rPr>
        <w:t>、经济技术开发区商务</w:t>
      </w:r>
      <w:r>
        <w:rPr>
          <w:rFonts w:hint="eastAsia" w:ascii="仿宋_GB2312" w:hAnsi="仿宋_GB2312" w:eastAsia="仿宋_GB2312" w:cs="仿宋_GB2312"/>
          <w:color w:val="000000"/>
          <w:sz w:val="32"/>
          <w:szCs w:val="32"/>
          <w:shd w:val="clear" w:color="auto" w:fill="FFFFFF"/>
          <w:lang w:val="en-US" w:eastAsia="zh-CN"/>
        </w:rPr>
        <w:t>金融局</w:t>
      </w:r>
      <w:r>
        <w:rPr>
          <w:rFonts w:hint="eastAsia" w:eastAsia="仿宋_GB2312"/>
          <w:sz w:val="32"/>
          <w:szCs w:val="32"/>
        </w:rPr>
        <w:t>。</w:t>
      </w:r>
    </w:p>
    <w:p>
      <w:pPr>
        <w:adjustRightInd w:val="0"/>
        <w:spacing w:line="560" w:lineRule="exact"/>
        <w:ind w:firstLine="628" w:firstLineChars="200"/>
        <w:rPr>
          <w:rFonts w:eastAsia="仿宋_GB2312"/>
          <w:sz w:val="32"/>
          <w:szCs w:val="32"/>
        </w:rPr>
      </w:pPr>
      <w:r>
        <w:rPr>
          <w:rFonts w:hint="eastAsia" w:ascii="仿宋_GB2312" w:hAnsi="仿宋_GB2312" w:eastAsia="仿宋_GB2312" w:cs="仿宋_GB2312"/>
          <w:szCs w:val="32"/>
        </w:rPr>
        <w:t>（二）</w:t>
      </w:r>
      <w:r>
        <w:rPr>
          <w:rFonts w:hint="eastAsia" w:ascii="仿宋_GB2312" w:hAnsi="仿宋_GB2312" w:eastAsia="仿宋_GB2312" w:cs="仿宋_GB2312"/>
          <w:sz w:val="32"/>
          <w:szCs w:val="32"/>
        </w:rPr>
        <w:t>9月10日前，各辖区</w:t>
      </w:r>
      <w:r>
        <w:rPr>
          <w:rFonts w:hint="eastAsia" w:ascii="仿宋_GB2312" w:hAnsi="仿宋_GB2312" w:eastAsia="仿宋_GB2312" w:cs="仿宋_GB2312"/>
          <w:color w:val="000000"/>
          <w:sz w:val="32"/>
          <w:szCs w:val="32"/>
          <w:shd w:val="clear" w:color="auto" w:fill="FFFFFF"/>
          <w:lang w:val="en-US" w:eastAsia="zh-CN"/>
        </w:rPr>
        <w:t>商务局</w:t>
      </w:r>
      <w:r>
        <w:rPr>
          <w:rFonts w:hint="eastAsia" w:ascii="仿宋_GB2312" w:hAnsi="仿宋_GB2312" w:eastAsia="仿宋_GB2312" w:cs="仿宋_GB2312"/>
          <w:color w:val="000000"/>
          <w:sz w:val="32"/>
          <w:szCs w:val="32"/>
          <w:shd w:val="clear" w:color="auto" w:fill="FFFFFF"/>
        </w:rPr>
        <w:t>、经济技术开发区商务</w:t>
      </w:r>
      <w:r>
        <w:rPr>
          <w:rFonts w:hint="eastAsia" w:ascii="仿宋_GB2312" w:hAnsi="仿宋_GB2312" w:eastAsia="仿宋_GB2312" w:cs="仿宋_GB2312"/>
          <w:color w:val="000000"/>
          <w:sz w:val="32"/>
          <w:szCs w:val="32"/>
          <w:shd w:val="clear" w:color="auto" w:fill="FFFFFF"/>
          <w:lang w:val="en-US" w:eastAsia="zh-CN"/>
        </w:rPr>
        <w:t>金融局</w:t>
      </w:r>
      <w:r>
        <w:rPr>
          <w:rFonts w:hint="eastAsia" w:ascii="仿宋_GB2312" w:hAnsi="仿宋_GB2312" w:eastAsia="仿宋_GB2312" w:cs="仿宋_GB2312"/>
          <w:sz w:val="32"/>
          <w:szCs w:val="32"/>
        </w:rPr>
        <w:t>将</w:t>
      </w:r>
      <w:r>
        <w:rPr>
          <w:rFonts w:hint="eastAsia" w:ascii="仿宋_GB2312" w:hAnsi="仿宋_GB2312" w:eastAsia="仿宋_GB2312" w:cs="仿宋_GB2312"/>
          <w:color w:val="000000"/>
          <w:sz w:val="32"/>
          <w:szCs w:val="32"/>
          <w:shd w:val="clear" w:color="auto" w:fill="FFFFFF"/>
        </w:rPr>
        <w:t>初审</w:t>
      </w:r>
      <w:r>
        <w:rPr>
          <w:rFonts w:hint="eastAsia" w:ascii="仿宋_GB2312" w:hAnsi="仿宋_GB2312" w:eastAsia="仿宋_GB2312" w:cs="仿宋_GB2312"/>
          <w:color w:val="000000"/>
          <w:sz w:val="32"/>
          <w:szCs w:val="32"/>
          <w:shd w:val="clear" w:color="auto" w:fill="FFFFFF"/>
          <w:lang w:val="en-US" w:eastAsia="zh-CN"/>
        </w:rPr>
        <w:t>情况报告和初审通过的项目汇总表</w:t>
      </w:r>
      <w:r>
        <w:rPr>
          <w:rFonts w:hint="eastAsia" w:ascii="仿宋_GB2312" w:hAnsi="仿宋_GB2312" w:eastAsia="仿宋_GB2312" w:cs="仿宋_GB2312"/>
          <w:color w:val="000000"/>
          <w:sz w:val="32"/>
          <w:szCs w:val="32"/>
          <w:shd w:val="clear" w:color="auto" w:fill="FFFFFF"/>
        </w:rPr>
        <w:t>、企业申报材料各1份（</w:t>
      </w:r>
      <w:r>
        <w:rPr>
          <w:rFonts w:hint="eastAsia" w:ascii="仿宋_GB2312" w:hAnsi="仿宋_GB2312" w:eastAsia="仿宋_GB2312" w:cs="仿宋_GB2312"/>
          <w:color w:val="000000"/>
          <w:sz w:val="32"/>
          <w:szCs w:val="32"/>
          <w:shd w:val="clear" w:color="auto" w:fill="FFFFFF"/>
          <w:lang w:val="en-US" w:eastAsia="zh-CN"/>
        </w:rPr>
        <w:t>含</w:t>
      </w:r>
      <w:r>
        <w:rPr>
          <w:rFonts w:hint="eastAsia" w:ascii="仿宋_GB2312" w:hAnsi="仿宋_GB2312" w:eastAsia="仿宋_GB2312" w:cs="仿宋_GB2312"/>
          <w:color w:val="000000"/>
          <w:sz w:val="32"/>
          <w:szCs w:val="32"/>
          <w:shd w:val="clear" w:color="auto" w:fill="FFFFFF"/>
        </w:rPr>
        <w:t>电子版</w:t>
      </w:r>
      <w:r>
        <w:rPr>
          <w:rFonts w:hint="eastAsia" w:ascii="仿宋_GB2312" w:hAnsi="仿宋_GB2312" w:eastAsia="仿宋_GB2312" w:cs="仿宋_GB2312"/>
          <w:color w:val="000000"/>
          <w:sz w:val="32"/>
          <w:szCs w:val="32"/>
          <w:shd w:val="clear" w:color="auto" w:fill="FFFFFF"/>
          <w:lang w:val="en-US" w:eastAsia="zh-CN"/>
        </w:rPr>
        <w:t>刻制光盘</w:t>
      </w:r>
      <w:r>
        <w:rPr>
          <w:rFonts w:hint="eastAsia" w:ascii="仿宋_GB2312" w:hAnsi="仿宋_GB2312" w:eastAsia="仿宋_GB2312" w:cs="仿宋_GB2312"/>
          <w:color w:val="000000"/>
          <w:sz w:val="32"/>
          <w:szCs w:val="32"/>
          <w:shd w:val="clear" w:color="auto" w:fill="FFFFFF"/>
        </w:rPr>
        <w:t>）报市商务局</w:t>
      </w:r>
      <w:r>
        <w:rPr>
          <w:rFonts w:eastAsia="仿宋_GB2312"/>
          <w:sz w:val="32"/>
          <w:szCs w:val="32"/>
        </w:rPr>
        <w:t>。</w:t>
      </w:r>
      <w:bookmarkStart w:id="4" w:name="_GoBack"/>
      <w:bookmarkEnd w:id="4"/>
    </w:p>
    <w:p>
      <w:pPr>
        <w:pStyle w:val="6"/>
        <w:spacing w:before="0" w:beforeAutospacing="0" w:after="0" w:afterAutospacing="0" w:line="450" w:lineRule="atLeast"/>
        <w:ind w:firstLine="628"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kern w:val="2"/>
          <w:sz w:val="32"/>
          <w:szCs w:val="32"/>
        </w:rPr>
        <w:t>（三）</w:t>
      </w:r>
      <w:r>
        <w:rPr>
          <w:rFonts w:hint="eastAsia" w:ascii="仿宋_GB2312" w:hAnsi="仿宋_GB2312" w:eastAsia="仿宋_GB2312" w:cs="仿宋_GB2312"/>
          <w:kern w:val="2"/>
          <w:sz w:val="32"/>
          <w:szCs w:val="32"/>
          <w:shd w:val="clear"/>
        </w:rPr>
        <w:t>市商务局</w:t>
      </w:r>
      <w:r>
        <w:rPr>
          <w:rFonts w:hint="eastAsia" w:ascii="仿宋_GB2312" w:hAnsi="仿宋_GB2312" w:eastAsia="仿宋_GB2312" w:cs="仿宋_GB2312"/>
          <w:color w:val="000000"/>
          <w:sz w:val="32"/>
          <w:szCs w:val="32"/>
          <w:shd w:val="clear" w:color="auto" w:fill="FFFFFF"/>
        </w:rPr>
        <w:t>委托第三方会计师事务所进行项目</w:t>
      </w:r>
      <w:r>
        <w:rPr>
          <w:rFonts w:hint="eastAsia" w:ascii="仿宋_GB2312" w:hAnsi="仿宋_GB2312" w:eastAsia="仿宋_GB2312" w:cs="仿宋_GB2312"/>
          <w:color w:val="000000"/>
          <w:sz w:val="32"/>
          <w:szCs w:val="32"/>
          <w:shd w:val="clear" w:color="auto" w:fill="FFFFFF"/>
          <w:lang w:val="en-US" w:eastAsia="zh-CN"/>
        </w:rPr>
        <w:t>复审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对复审通过的项目，在市商务局官方网站上予以公示，公示期为7天，公示期满无异议后按规定办理资金拨付手续</w:t>
      </w:r>
      <w:r>
        <w:rPr>
          <w:rFonts w:hint="eastAsia" w:ascii="仿宋_GB2312" w:hAnsi="仿宋_GB2312" w:eastAsia="仿宋_GB2312" w:cs="仿宋_GB2312"/>
          <w:i w:val="0"/>
          <w:caps w:val="0"/>
          <w:color w:val="000000"/>
          <w:spacing w:val="0"/>
          <w:sz w:val="32"/>
          <w:szCs w:val="32"/>
          <w:shd w:val="clear" w:color="auto" w:fill="FFFFFF"/>
        </w:rPr>
        <w:t>。</w:t>
      </w:r>
    </w:p>
    <w:p>
      <w:pPr>
        <w:ind w:firstLine="616" w:firstLineChars="196"/>
        <w:rPr>
          <w:rFonts w:hint="eastAsia" w:ascii="仿宋_GB2312" w:hAnsi="仿宋_GB2312" w:eastAsia="仿宋_GB2312" w:cs="仿宋_GB2312"/>
          <w:szCs w:val="32"/>
        </w:rPr>
      </w:pPr>
    </w:p>
    <w:p>
      <w:pPr>
        <w:spacing w:line="560" w:lineRule="exact"/>
        <w:ind w:firstLine="628"/>
        <w:rPr>
          <w:rFonts w:hint="eastAsia" w:ascii="仿宋_GB2312" w:hAnsi="仿宋_GB2312" w:eastAsia="仿宋_GB2312" w:cs="仿宋_GB2312"/>
          <w:color w:val="000000"/>
          <w:szCs w:val="32"/>
        </w:rPr>
      </w:pPr>
      <w:r>
        <w:rPr>
          <w:rFonts w:eastAsia="仿宋_GB2312"/>
          <w:color w:val="000000"/>
          <w:szCs w:val="32"/>
        </w:rPr>
        <w:t>联 系 人：郑勇</w:t>
      </w:r>
      <w:r>
        <w:rPr>
          <w:rFonts w:hint="eastAsia" w:eastAsia="仿宋_GB2312"/>
          <w:color w:val="000000"/>
          <w:szCs w:val="32"/>
          <w:lang w:val="en-US" w:eastAsia="zh-CN"/>
        </w:rPr>
        <w:t xml:space="preserve"> </w:t>
      </w:r>
      <w:r>
        <w:rPr>
          <w:rFonts w:hint="eastAsia" w:eastAsia="仿宋_GB2312"/>
          <w:color w:val="000000"/>
          <w:szCs w:val="32"/>
          <w:lang w:eastAsia="zh-CN"/>
        </w:rPr>
        <w:t>赵亚东</w:t>
      </w:r>
      <w:r>
        <w:rPr>
          <w:rFonts w:eastAsia="仿宋_GB2312"/>
          <w:color w:val="000000"/>
          <w:szCs w:val="32"/>
        </w:rPr>
        <w:t>；电话</w:t>
      </w:r>
      <w:r>
        <w:rPr>
          <w:rFonts w:hint="eastAsia" w:ascii="仿宋_GB2312" w:hAnsi="仿宋_GB2312" w:eastAsia="仿宋_GB2312" w:cs="仿宋_GB2312"/>
          <w:color w:val="000000"/>
          <w:szCs w:val="32"/>
        </w:rPr>
        <w:t>：55579489</w:t>
      </w:r>
      <w:r>
        <w:rPr>
          <w:rFonts w:hint="eastAsia" w:ascii="仿宋_GB2312" w:hAnsi="仿宋_GB2312" w:eastAsia="仿宋_GB2312" w:cs="仿宋_GB2312"/>
          <w:color w:val="000000"/>
          <w:szCs w:val="32"/>
          <w:lang w:val="en-US" w:eastAsia="zh-CN"/>
        </w:rPr>
        <w:t xml:space="preserve"> 15801291638</w:t>
      </w:r>
      <w:r>
        <w:rPr>
          <w:rFonts w:hint="eastAsia" w:ascii="仿宋_GB2312" w:hAnsi="仿宋_GB2312" w:eastAsia="仿宋_GB2312" w:cs="仿宋_GB2312"/>
          <w:color w:val="000000"/>
          <w:szCs w:val="32"/>
        </w:rPr>
        <w:t>;</w:t>
      </w:r>
    </w:p>
    <w:p>
      <w:pPr>
        <w:spacing w:line="560" w:lineRule="exact"/>
        <w:ind w:firstLine="628" w:firstLineChars="200"/>
        <w:rPr>
          <w:rFonts w:eastAsia="仿宋_GB2312"/>
          <w:color w:val="000000"/>
          <w:kern w:val="0"/>
          <w:szCs w:val="32"/>
        </w:rPr>
      </w:pPr>
      <w:r>
        <w:rPr>
          <w:rFonts w:ascii="Times New Roman" w:hAnsi="Times New Roman" w:eastAsia="仿宋_GB2312" w:cs="Times New Roman"/>
          <w:color w:val="000000"/>
          <w:kern w:val="2"/>
          <w:sz w:val="32"/>
          <w:szCs w:val="32"/>
        </w:rPr>
        <w:t>邮</w:t>
      </w:r>
      <w:r>
        <w:rPr>
          <w:rFonts w:hint="default" w:ascii="Times New Roman" w:hAnsi="Times New Roman" w:eastAsia="仿宋_GB2312" w:cs="Times New Roman"/>
          <w:color w:val="000000"/>
          <w:kern w:val="2"/>
          <w:sz w:val="32"/>
          <w:szCs w:val="32"/>
          <w:lang w:val="en-US" w:eastAsia="zh-CN"/>
        </w:rPr>
        <w:t xml:space="preserve">    </w:t>
      </w:r>
      <w:r>
        <w:rPr>
          <w:rFonts w:ascii="Times New Roman" w:hAnsi="Times New Roman" w:eastAsia="仿宋_GB2312" w:cs="Times New Roman"/>
          <w:color w:val="000000"/>
          <w:kern w:val="2"/>
          <w:sz w:val="32"/>
          <w:szCs w:val="32"/>
        </w:rPr>
        <w:t>箱：</w:t>
      </w:r>
      <w:r>
        <w:rPr>
          <w:rFonts w:ascii="Times New Roman" w:hAnsi="Times New Roman" w:eastAsia="仿宋_GB2312" w:cs="Times New Roman"/>
          <w:color w:val="000000"/>
          <w:kern w:val="2"/>
          <w:sz w:val="32"/>
          <w:szCs w:val="32"/>
        </w:rPr>
        <w:fldChar w:fldCharType="begin"/>
      </w:r>
      <w:r>
        <w:rPr>
          <w:rFonts w:ascii="Times New Roman" w:hAnsi="Times New Roman" w:eastAsia="仿宋_GB2312" w:cs="Times New Roman"/>
          <w:color w:val="000000"/>
          <w:kern w:val="2"/>
          <w:sz w:val="32"/>
          <w:szCs w:val="32"/>
        </w:rPr>
        <w:instrText xml:space="preserve"> HYPERLINK "mailto:wangyating@sw.beijing.gov.cn" </w:instrText>
      </w:r>
      <w:r>
        <w:rPr>
          <w:rFonts w:ascii="Times New Roman" w:hAnsi="Times New Roman" w:eastAsia="仿宋_GB2312" w:cs="Times New Roman"/>
          <w:color w:val="000000"/>
          <w:kern w:val="2"/>
          <w:sz w:val="32"/>
          <w:szCs w:val="32"/>
        </w:rPr>
        <w:fldChar w:fldCharType="separate"/>
      </w:r>
      <w:r>
        <w:rPr>
          <w:rFonts w:hint="default" w:ascii="Times New Roman" w:hAnsi="Times New Roman" w:eastAsia="仿宋_GB2312" w:cs="Times New Roman"/>
          <w:color w:val="000000"/>
          <w:kern w:val="2"/>
          <w:sz w:val="32"/>
          <w:szCs w:val="32"/>
          <w:lang w:eastAsia="zh-CN"/>
        </w:rPr>
        <w:t>z</w:t>
      </w:r>
      <w:r>
        <w:rPr>
          <w:rFonts w:hint="default" w:ascii="Times New Roman" w:hAnsi="Times New Roman" w:eastAsia="仿宋_GB2312" w:cs="Times New Roman"/>
          <w:color w:val="000000"/>
          <w:kern w:val="2"/>
          <w:sz w:val="32"/>
          <w:szCs w:val="32"/>
          <w:lang w:val="en-US" w:eastAsia="zh-CN"/>
        </w:rPr>
        <w:t>hengyong</w:t>
      </w:r>
      <w:r>
        <w:rPr>
          <w:rFonts w:ascii="Times New Roman" w:hAnsi="Times New Roman" w:eastAsia="仿宋_GB2312" w:cs="Times New Roman"/>
          <w:color w:val="000000"/>
          <w:kern w:val="2"/>
          <w:sz w:val="32"/>
          <w:szCs w:val="32"/>
        </w:rPr>
        <w:t>@sw.beijing.gov.cn</w:t>
      </w:r>
      <w:r>
        <w:rPr>
          <w:rFonts w:ascii="Times New Roman" w:hAnsi="Times New Roman" w:eastAsia="仿宋_GB2312" w:cs="Times New Roman"/>
          <w:color w:val="000000"/>
          <w:kern w:val="2"/>
          <w:sz w:val="32"/>
          <w:szCs w:val="32"/>
        </w:rPr>
        <w:fldChar w:fldCharType="end"/>
      </w:r>
    </w:p>
    <w:sectPr>
      <w:footerReference r:id="rId3" w:type="default"/>
      <w:footerReference r:id="rId4" w:type="even"/>
      <w:pgSz w:w="11906" w:h="16838"/>
      <w:pgMar w:top="2098" w:right="1474" w:bottom="1985" w:left="1588" w:header="851" w:footer="992" w:gutter="0"/>
      <w:cols w:space="720" w:num="1"/>
      <w:docGrid w:type="linesAndChars" w:linePitch="584"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6" w:rightChars="105"/>
      <w:jc w:val="right"/>
      <w:rPr>
        <w:rFonts w:ascii="宋体" w:hAnsi="宋体" w:eastAsia="宋体"/>
        <w:sz w:val="28"/>
        <w:szCs w:val="28"/>
      </w:rPr>
    </w:pPr>
    <w:r>
      <w:rPr>
        <w:rFonts w:ascii="Times New Roman" w:hAnsi="Times New Roman" w:eastAsia="仿宋" w:cs="Times New Roman"/>
        <w:kern w:val="2"/>
        <w:sz w:val="2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ind w:right="336" w:rightChars="105"/>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5</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5" w:firstLineChars="152"/>
      <w:rPr>
        <w:rFonts w:ascii="宋体" w:hAnsi="宋体" w:eastAsia="宋体"/>
        <w:sz w:val="28"/>
        <w:szCs w:val="28"/>
      </w:rPr>
    </w:pPr>
    <w:r>
      <w:rPr>
        <w:rFonts w:ascii="Times New Roman" w:hAnsi="Times New Roman" w:eastAsia="仿宋" w:cs="Times New Roman"/>
        <w:kern w:val="2"/>
        <w:sz w:val="28"/>
        <w:szCs w:val="18"/>
        <w:lang w:val="en-US" w:eastAsia="zh-CN" w:bidi="ar-SA"/>
      </w:rPr>
      <w:pict>
        <v:rect id="文本框 2" o:spid="_x0000_s4098"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ind w:firstLine="425" w:firstLineChars="152"/>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4</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evenAndOddHeaders w:val="1"/>
  <w:drawingGridHorizontalSpacing w:val="157"/>
  <w:drawingGridVerticalSpacing w:val="292"/>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3275D"/>
    <w:rsid w:val="00040F9C"/>
    <w:rsid w:val="00063BF6"/>
    <w:rsid w:val="000801FA"/>
    <w:rsid w:val="000A1330"/>
    <w:rsid w:val="000C5A48"/>
    <w:rsid w:val="000D5195"/>
    <w:rsid w:val="000E3290"/>
    <w:rsid w:val="000E44F1"/>
    <w:rsid w:val="00153C3C"/>
    <w:rsid w:val="00166E49"/>
    <w:rsid w:val="001B06B3"/>
    <w:rsid w:val="001B2434"/>
    <w:rsid w:val="002247D5"/>
    <w:rsid w:val="0025623C"/>
    <w:rsid w:val="00293843"/>
    <w:rsid w:val="002B1C79"/>
    <w:rsid w:val="002D77DF"/>
    <w:rsid w:val="002E122B"/>
    <w:rsid w:val="002E75E9"/>
    <w:rsid w:val="00316A16"/>
    <w:rsid w:val="00342913"/>
    <w:rsid w:val="003543D0"/>
    <w:rsid w:val="00394308"/>
    <w:rsid w:val="003D4857"/>
    <w:rsid w:val="00485E79"/>
    <w:rsid w:val="004B7218"/>
    <w:rsid w:val="004C50CA"/>
    <w:rsid w:val="005251AA"/>
    <w:rsid w:val="005252D5"/>
    <w:rsid w:val="005504FC"/>
    <w:rsid w:val="005674A2"/>
    <w:rsid w:val="005732F8"/>
    <w:rsid w:val="005D7831"/>
    <w:rsid w:val="005E6600"/>
    <w:rsid w:val="006076C5"/>
    <w:rsid w:val="00625582"/>
    <w:rsid w:val="006D6F3C"/>
    <w:rsid w:val="00794BBA"/>
    <w:rsid w:val="007C334F"/>
    <w:rsid w:val="007C7FCE"/>
    <w:rsid w:val="0080283A"/>
    <w:rsid w:val="008B7192"/>
    <w:rsid w:val="008C534E"/>
    <w:rsid w:val="008C6C86"/>
    <w:rsid w:val="008D1363"/>
    <w:rsid w:val="00966AA1"/>
    <w:rsid w:val="00970731"/>
    <w:rsid w:val="00993B31"/>
    <w:rsid w:val="009A7EC8"/>
    <w:rsid w:val="009D6ECC"/>
    <w:rsid w:val="00A06CDD"/>
    <w:rsid w:val="00A138F1"/>
    <w:rsid w:val="00A318D5"/>
    <w:rsid w:val="00A7013E"/>
    <w:rsid w:val="00AC5923"/>
    <w:rsid w:val="00B35733"/>
    <w:rsid w:val="00B67BBB"/>
    <w:rsid w:val="00BD607B"/>
    <w:rsid w:val="00C0765A"/>
    <w:rsid w:val="00C76F0A"/>
    <w:rsid w:val="00C82A11"/>
    <w:rsid w:val="00D00BED"/>
    <w:rsid w:val="00D01432"/>
    <w:rsid w:val="00D5539B"/>
    <w:rsid w:val="00D74379"/>
    <w:rsid w:val="00D76D60"/>
    <w:rsid w:val="00DA191E"/>
    <w:rsid w:val="00DB097D"/>
    <w:rsid w:val="00DC42DE"/>
    <w:rsid w:val="00DD0679"/>
    <w:rsid w:val="00E07749"/>
    <w:rsid w:val="00E536F6"/>
    <w:rsid w:val="00E712F1"/>
    <w:rsid w:val="00EB2064"/>
    <w:rsid w:val="00EC1B24"/>
    <w:rsid w:val="00F10DDF"/>
    <w:rsid w:val="00F14D46"/>
    <w:rsid w:val="00F232AA"/>
    <w:rsid w:val="00F3275D"/>
    <w:rsid w:val="00F76159"/>
    <w:rsid w:val="00FA0739"/>
    <w:rsid w:val="00FA69CC"/>
    <w:rsid w:val="00FE0A97"/>
    <w:rsid w:val="00FE479E"/>
    <w:rsid w:val="065328FD"/>
    <w:rsid w:val="08923D26"/>
    <w:rsid w:val="098D54CB"/>
    <w:rsid w:val="099643EA"/>
    <w:rsid w:val="0A7F16BF"/>
    <w:rsid w:val="0D764A58"/>
    <w:rsid w:val="1159556A"/>
    <w:rsid w:val="115A418F"/>
    <w:rsid w:val="164B79CD"/>
    <w:rsid w:val="18A466CA"/>
    <w:rsid w:val="1E30171D"/>
    <w:rsid w:val="20322C47"/>
    <w:rsid w:val="20E21DE0"/>
    <w:rsid w:val="212C37E8"/>
    <w:rsid w:val="212E6CEB"/>
    <w:rsid w:val="21B165B5"/>
    <w:rsid w:val="25482919"/>
    <w:rsid w:val="272A7F61"/>
    <w:rsid w:val="289B3157"/>
    <w:rsid w:val="28E13F56"/>
    <w:rsid w:val="31166466"/>
    <w:rsid w:val="321E598A"/>
    <w:rsid w:val="32A736C0"/>
    <w:rsid w:val="37DA207A"/>
    <w:rsid w:val="39260575"/>
    <w:rsid w:val="3DAD5A10"/>
    <w:rsid w:val="471B7816"/>
    <w:rsid w:val="4DF029AF"/>
    <w:rsid w:val="514911A3"/>
    <w:rsid w:val="53CC1185"/>
    <w:rsid w:val="56F274BA"/>
    <w:rsid w:val="577634FA"/>
    <w:rsid w:val="57A40831"/>
    <w:rsid w:val="5C1D4D8C"/>
    <w:rsid w:val="5E894305"/>
    <w:rsid w:val="5ECF5648"/>
    <w:rsid w:val="5EDC4B00"/>
    <w:rsid w:val="604D6C87"/>
    <w:rsid w:val="65195EBB"/>
    <w:rsid w:val="69813780"/>
    <w:rsid w:val="6AC015BA"/>
    <w:rsid w:val="6BCA7FC7"/>
    <w:rsid w:val="6FCB39C0"/>
    <w:rsid w:val="713F4D74"/>
    <w:rsid w:val="73156B20"/>
    <w:rsid w:val="734F0B8B"/>
    <w:rsid w:val="7B743E95"/>
    <w:rsid w:val="7D83271A"/>
    <w:rsid w:val="7E5D3366"/>
    <w:rsid w:val="7EE34E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unhideWhenUsed/>
    <w:qFormat/>
    <w:uiPriority w:val="99"/>
    <w:rPr>
      <w:color w:val="0000FF"/>
      <w:u w:val="single"/>
    </w:rPr>
  </w:style>
  <w:style w:type="paragraph" w:customStyle="1" w:styleId="10">
    <w:name w:val="列出段落11"/>
    <w:basedOn w:val="1"/>
    <w:qFormat/>
    <w:uiPriority w:val="0"/>
    <w:pPr>
      <w:ind w:firstLine="420" w:firstLineChars="200"/>
    </w:pPr>
    <w:rPr>
      <w:rFonts w:ascii="Calibri" w:hAnsi="Calibri"/>
      <w:szCs w:val="21"/>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sz w:val="18"/>
      <w:szCs w:val="18"/>
    </w:rPr>
  </w:style>
  <w:style w:type="character" w:customStyle="1" w:styleId="13">
    <w:name w:val="页眉 Char"/>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363</Words>
  <Characters>2075</Characters>
  <Lines>17</Lines>
  <Paragraphs>4</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2015-12-17T08:03:00Z</dcterms:created>
  <dc:creator>白宇</dc:creator>
  <cp:lastModifiedBy>xx</cp:lastModifiedBy>
  <cp:lastPrinted>2020-06-19T08:09:00Z</cp:lastPrinted>
  <dcterms:modified xsi:type="dcterms:W3CDTF">2021-07-31T14:09:10Z</dcterms:modified>
  <dc:title> 〔 〕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94E0ABDF9E354809B49A6DF3421EE350</vt:lpwstr>
  </property>
</Properties>
</file>