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adjustRightIn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附件1：</w:t>
      </w:r>
    </w:p>
    <w:p>
      <w:pPr>
        <w:adjustRightInd w:val="0"/>
        <w:spacing w:line="560" w:lineRule="exact"/>
        <w:ind w:left="94" w:leftChars="4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北京市第十二届商业服务业技能大赛</w:t>
      </w:r>
    </w:p>
    <w:p>
      <w:pPr>
        <w:adjustRightInd w:val="0"/>
        <w:spacing w:line="560" w:lineRule="exact"/>
        <w:ind w:left="94" w:leftChars="4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技术能手冠、亚、季军选手（团队）名单</w:t>
      </w:r>
    </w:p>
    <w:tbl>
      <w:tblPr>
        <w:tblStyle w:val="6"/>
        <w:tblW w:w="88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92"/>
        <w:gridCol w:w="428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竞赛项目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商品展示技术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（团队）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王府井集团股份有限公司百货大楼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王桂娟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宋  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宋文然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华润超级市场有限公司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（北京OLE）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阚光辉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赵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朱睿玲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北京瑞蚨祥绸布店有限责任公司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孙晨旭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汪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赵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收银服务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北京京客隆商业集团股份有限公司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定福庄店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王雪飞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王府井集团股份有限公司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北京西单商场西单店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陈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北京翠微大厦股份有限公司大成路店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崔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中国全聚德（集团）股份有限公司</w:t>
            </w:r>
            <w:bookmarkStart w:id="0" w:name="_Hlk117707922"/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北京全聚德王府井店</w:t>
            </w:r>
            <w:bookmarkEnd w:id="0"/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任亚平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北京华天凯丰餐饮服务有限公司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武江龙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北京喀和餐饮文化发展有限公司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陈玉鑫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餐厅服务员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bookmarkStart w:id="1" w:name="_Hlk117707950"/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北京美食达后勤管理服务有限公司</w:t>
            </w:r>
            <w:bookmarkEnd w:id="1"/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白晓攀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北京首旅酒店（集团）股份有限公司北京市民族饭店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汪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北京大学会议中心中关新园管理部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张家宗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团膳烹调师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（团队）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北京城建北苑大酒店有限公司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丁治林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韩华腾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张敬荟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北京华天凯丰餐饮服务有限公司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管东杰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王宝庆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王欢玲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北京美食达后勤管理服务有限公司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张锁柱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宋玉才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董耐格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咖啡师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北京美食达后勤管理服务有限公司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姚忠杰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北京市工贸技师学院商贸系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冯立群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北京同仁堂健康药业股份有限公司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陶国强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西式烹调师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北京市朝阳区霄云路8号 Opus品餐厅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王鹏森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北京国家大剧院客服中心有限责任公司西餐厅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侯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话堂（北京）餐饮管理有限公司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司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北京首旅酒店（集团）股份有限公司北京市民族饭店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李艳霞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北京庆丰餐饮管理有限公司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张其存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北京礼信年年餐饮管理有限公司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新三板项目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张婷婷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烘焙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北京市西苑饭店责任有限公司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张亚红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北京美食达后勤服务管理有限公司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岳艳秋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北京大学会议中心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张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美发师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北京四联美发美容责任有限公司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北新桥店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姜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北京东方名剪美容美发有限责任公司亦庄店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罗国瑞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北京东方名剪美容美发有限责任公司亦庄店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王洪海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人像摄影师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北京中国照相馆有限责任公司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王府井店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  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北京大北照相有限责任公司 前门店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王晓泽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北京义立宇和文化传媒有限公司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黄付元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评茶员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北京启元茶叶有限责任公司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王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北京二商京华茶业有限公司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孟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北京长溪茶业有限公司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谢清怡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眼镜验光员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bookmarkStart w:id="2" w:name="_Hlk117708147"/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北京同仁验光配镜有限责任公司</w:t>
            </w:r>
            <w:bookmarkEnd w:id="2"/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海淀眼科诊所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王彦儒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北京同仁验光配镜有限责任公司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专业事务部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金小菊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北京大明眼镜股份有限公司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王府井旗舰店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黄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金牌店长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北京同仁堂健康药业有限公司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施小墨店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邓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北京金源千业超市有限公司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北京金源千业超市陶然亭店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牛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北京苏宁易购销售有限公司大兴店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韩志强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制冷空调系统安装维修工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（团队）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bookmarkStart w:id="3" w:name="_Hlk117708183"/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北京长峰新联工程管理有限责任公司</w:t>
            </w:r>
            <w:bookmarkEnd w:id="3"/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冯东生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魏晓永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北京涛恒嘉业科贸有限公司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  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张小响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北京京西南科技有限公司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李军拥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王桐江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服装熨烫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北京伊尔萨洗染有限公司广安门店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刘子亚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北京洁希亚洗染技术有限公司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李书芬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北京市普兰德方兴洗涤设备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有限责任公司木樨地店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郑建军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医药商品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购销员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北京同仁堂连锁药店有限责任公司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三营门药店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于绍红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北京市丰汇园金象大药房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张兰芝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北京同仁堂连锁药店有限责任公司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通济路药店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仁兆云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外贸业务员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北京文海阳工贸有限责任公司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刘玉坤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北京美恩信科技有限责任公司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韩 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北京纵坐标国际贸易有限公司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胡新宇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健康照护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bookmarkStart w:id="4" w:name="_Hlk117708262"/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北京佳翊教育培训有限公司</w:t>
            </w:r>
            <w:bookmarkEnd w:id="4"/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葛瑛霞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北京爱侬养老科技发展有限公司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李文明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爱宝蓓（北京）家政服务有限责任公司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梁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整理收纳师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北京世纪星辰酒店管理有限公司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郭春蕊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艾瑞儿整理收纳（温州）有限公司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叶瓯瑞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北京世纪璀璨旅游文化传媒有限公司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尹婷茹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restart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超市分拣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商品员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冠军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bookmarkStart w:id="5" w:name="_Hlk117708298"/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北京超市发连锁股份有限公司</w:t>
            </w:r>
            <w:bookmarkEnd w:id="5"/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双榆树店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史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亚军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北京京客隆商业集团股份有限公司</w:t>
            </w:r>
          </w:p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里仁街店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周 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季军</w:t>
            </w:r>
          </w:p>
        </w:tc>
        <w:tc>
          <w:tcPr>
            <w:tcW w:w="42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北京首航国力商贸有限公司第5</w:t>
            </w:r>
            <w:r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店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560" w:lineRule="exact"/>
              <w:ind w:left="94" w:leftChars="45"/>
              <w:jc w:val="center"/>
              <w:rPr>
                <w:rFonts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于国志</w:t>
            </w:r>
          </w:p>
        </w:tc>
      </w:tr>
    </w:tbl>
    <w:p>
      <w:pPr>
        <w:adjustRightInd w:val="0"/>
        <w:spacing w:line="560" w:lineRule="exact"/>
        <w:ind w:left="94" w:leftChars="45"/>
        <w:jc w:val="center"/>
        <w:rPr>
          <w:rFonts w:ascii="仿宋_GB2312" w:hAnsi="Times New Roman" w:eastAsia="仿宋_GB2312" w:cs="Times New Roman"/>
          <w:b w:val="0"/>
          <w:bCs/>
          <w:sz w:val="30"/>
          <w:szCs w:val="30"/>
        </w:rPr>
      </w:pPr>
    </w:p>
    <w:p>
      <w:pPr>
        <w:pageBreakBefore/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附件2：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北京市第十二届商业服务业技能大赛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“优胜奖”  单位名单（21家）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王府井集团股份有限公司百货大楼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北京京客隆商业集团股份有限公司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中国全聚德（集团）股份有限公司 北京全聚德王府井店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北京美食达后勤管理服务有限公司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北京城建北苑大酒店有限公司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北京市朝阳区霄云路8号 Opus品餐厅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北京首旅酒店（集团）股份有限公司 北京市民族饭店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北京市西苑饭店责任有限公司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北京四联美发美容责任有限公司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>北新桥店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北京中国照相馆有限责任公司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北京启元茶叶有限责任公司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北京同仁验光配镜有限责任公司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北京同仁堂健康药业有限公司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北京长峰新联工程管理有限责任公司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北京伊尔萨洗染有限公司广安门店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北京同仁堂连锁药店有限责任公司 三营门药店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北京文海阳工贸有限责任公司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北京佳翊教育培训有限公司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北京美食达后勤管理服务有限公司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北京世纪星辰酒店管理有限公司</w:t>
      </w:r>
    </w:p>
    <w:p>
      <w:pPr>
        <w:widowControl w:val="0"/>
        <w:wordWrap/>
        <w:adjustRightInd w:val="0"/>
        <w:snapToGrid/>
        <w:spacing w:line="520" w:lineRule="exact"/>
        <w:ind w:left="105" w:leftChars="50" w:right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北京超市发连锁股份有限公司</w:t>
      </w:r>
    </w:p>
    <w:p>
      <w:pPr>
        <w:adjustRightInd w:val="0"/>
        <w:spacing w:line="560" w:lineRule="exact"/>
        <w:ind w:firstLine="151" w:firstLineChars="50"/>
        <w:jc w:val="left"/>
        <w:rPr>
          <w:rFonts w:ascii="仿宋_GB2312" w:hAnsi="Times New Roman" w:eastAsia="仿宋_GB2312" w:cs="Times New Roman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附件3：</w:t>
      </w:r>
    </w:p>
    <w:p>
      <w:pPr>
        <w:adjustRightInd w:val="0"/>
        <w:spacing w:line="560" w:lineRule="exact"/>
        <w:ind w:firstLine="151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北京市第十二届商业服务业技能大赛</w:t>
      </w:r>
    </w:p>
    <w:p>
      <w:pPr>
        <w:adjustRightInd w:val="0"/>
        <w:spacing w:line="560" w:lineRule="exact"/>
        <w:ind w:firstLine="151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“优秀组织奖”单位名单（18家）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王府井集团股份有限公司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北京翠微大厦股份有限公司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中国全聚德集团（股份）有限公司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徽商故里集团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北京华天饮食控股集团有限公司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北京礼信年年餐饮管理有限公司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北京东方名剪美容美发有限责任公司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北京大北照相有限责任公司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北京二商京华茶业有限公司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北京大明眼镜股份有限公司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北京金源投资管理有限公司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北京盛世欣兴格力贸易有限公司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北京福奈特洗衣服务有限公司培训中心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北京金象复星医药股份有限公司 白塔寺药店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北京文海阳工贸有限责任公司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北京爱侬养老科技发展股份有限公司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北京世纪璀璨旅游文化传媒有限公司</w:t>
      </w: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北京京客隆商业集团股份有限公司</w:t>
      </w:r>
    </w:p>
    <w:p>
      <w:pPr>
        <w:pageBreakBefore/>
        <w:adjustRightInd w:val="0"/>
        <w:spacing w:line="560" w:lineRule="exact"/>
        <w:ind w:firstLine="151" w:firstLineChars="50"/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附件4：</w:t>
      </w:r>
    </w:p>
    <w:p>
      <w:pPr>
        <w:adjustRightInd w:val="0"/>
        <w:spacing w:line="560" w:lineRule="exact"/>
        <w:ind w:firstLine="151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北京市第十二届商业服务业技能大赛</w:t>
      </w:r>
    </w:p>
    <w:p>
      <w:pPr>
        <w:adjustRightInd w:val="0"/>
        <w:spacing w:line="560" w:lineRule="exact"/>
        <w:ind w:firstLine="151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“优秀</w:t>
      </w:r>
      <w:bookmarkStart w:id="6" w:name="_GoBack"/>
      <w:bookmarkEnd w:id="6"/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工作者”名单（18人）</w:t>
      </w:r>
    </w:p>
    <w:p>
      <w:pPr>
        <w:adjustRightInd w:val="0"/>
        <w:spacing w:line="560" w:lineRule="exact"/>
        <w:ind w:firstLine="151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</w:p>
    <w:p>
      <w:pPr>
        <w:adjustRightInd w:val="0"/>
        <w:spacing w:line="560" w:lineRule="exact"/>
        <w:ind w:firstLine="140" w:firstLineChars="50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北京菜市口百货股份有限公司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贾冉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北京翠微大厦股份有限公司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白梅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旺顺阁（北京）投资管理集团有限公司  李艳霞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北京大学会议中心中关新园管理部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李伶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丰台区职业教育中心学校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李凯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北京美食达后勤管理服务有限公司  胡振新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北京木北企业管理有限公司   洪海停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北京市劲松职业高中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肖莉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北京二商京华茶业有限公司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李怡萌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北京同仁验光配镜有限责任公司  李江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北京大明眼镜股份有限公司  刘钰蕊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北京长峰新联工程管理有限责任公司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赵明宇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北京市普兰德方兴洗涤设备有限责任公司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吕丽伟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北京同仁堂商业投资集团有限公司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韩昌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北京市对外贸易学校  魏书馨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北京佳翊教育科技有限公司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甘爱红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北京世纪星辰酒店管理有限公司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郭春蕊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center"/>
        <w:rPr>
          <w:rFonts w:ascii="仿宋_GB2312" w:hAnsi="Times New Roman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 xml:space="preserve">北京超市发连锁股份有限公司 </w:t>
      </w:r>
      <w:r>
        <w:rPr>
          <w:rFonts w:ascii="仿宋_GB2312" w:hAnsi="Times New Roman" w:eastAsia="仿宋_GB2312" w:cs="Times New Roman"/>
          <w:b w:val="0"/>
          <w:bCs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张慧雪</w:t>
      </w:r>
    </w:p>
    <w:sectPr>
      <w:pgSz w:w="11906" w:h="16838"/>
      <w:pgMar w:top="2098" w:right="1474" w:bottom="1701" w:left="1588" w:header="851" w:footer="850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B3761"/>
    <w:rsid w:val="00023099"/>
    <w:rsid w:val="00057A6D"/>
    <w:rsid w:val="000D42A9"/>
    <w:rsid w:val="00120B5A"/>
    <w:rsid w:val="0012288D"/>
    <w:rsid w:val="001744B9"/>
    <w:rsid w:val="00182D77"/>
    <w:rsid w:val="001F3DA4"/>
    <w:rsid w:val="001F664D"/>
    <w:rsid w:val="00273CAF"/>
    <w:rsid w:val="00284E43"/>
    <w:rsid w:val="002A19C5"/>
    <w:rsid w:val="002B1DA1"/>
    <w:rsid w:val="002D0934"/>
    <w:rsid w:val="002E5FF1"/>
    <w:rsid w:val="002F6D5F"/>
    <w:rsid w:val="004C5C95"/>
    <w:rsid w:val="004E27D2"/>
    <w:rsid w:val="00521DEF"/>
    <w:rsid w:val="00605475"/>
    <w:rsid w:val="00617672"/>
    <w:rsid w:val="00647BB5"/>
    <w:rsid w:val="006F5F87"/>
    <w:rsid w:val="00740140"/>
    <w:rsid w:val="00763B66"/>
    <w:rsid w:val="00776C71"/>
    <w:rsid w:val="008C1E27"/>
    <w:rsid w:val="0098309B"/>
    <w:rsid w:val="00996DC6"/>
    <w:rsid w:val="00A140C2"/>
    <w:rsid w:val="00A228A0"/>
    <w:rsid w:val="00AE64A6"/>
    <w:rsid w:val="00AF0811"/>
    <w:rsid w:val="00C56FF8"/>
    <w:rsid w:val="00C71044"/>
    <w:rsid w:val="00C754AD"/>
    <w:rsid w:val="00C7609F"/>
    <w:rsid w:val="00D02785"/>
    <w:rsid w:val="00D0484C"/>
    <w:rsid w:val="00D75E7A"/>
    <w:rsid w:val="00DB3761"/>
    <w:rsid w:val="00ED193A"/>
    <w:rsid w:val="00F03FB3"/>
    <w:rsid w:val="00F44A93"/>
    <w:rsid w:val="00FD22FF"/>
    <w:rsid w:val="75D1318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0"/>
    <w:pPr/>
    <w:rPr>
      <w:rFonts w:ascii="Times New Roman" w:hAnsi="Times New Roman" w:eastAsia="宋体" w:cs="Times New Roman"/>
      <w:kern w:val="0"/>
      <w:sz w:val="20"/>
      <w:szCs w:val="2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454</Words>
  <Characters>2589</Characters>
  <Lines>21</Lines>
  <Paragraphs>6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2022-11-02T03:36:00Z</dcterms:created>
  <dc:creator>魏 泽琦</dc:creator>
  <cp:lastModifiedBy>王勇</cp:lastModifiedBy>
  <dcterms:modified xsi:type="dcterms:W3CDTF">2022-11-04T01:08:26Z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